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67.0" w:type="dxa"/>
        <w:tblLayout w:type="fixed"/>
        <w:tblLook w:val="0400"/>
      </w:tblPr>
      <w:tblGrid>
        <w:gridCol w:w="10206"/>
        <w:tblGridChange w:id="0">
          <w:tblGrid>
            <w:gridCol w:w="10206"/>
          </w:tblGrid>
        </w:tblGridChange>
      </w:tblGrid>
      <w:tr>
        <w:trPr>
          <w:cantSplit w:val="0"/>
          <w:trHeight w:val="1441" w:hRule="atLeast"/>
          <w:tblHeader w:val="0"/>
        </w:trPr>
        <w:tc>
          <w:tcPr>
            <w:shd w:fill="auto" w:val="clear"/>
          </w:tcPr>
          <w:p w:rsidR="00000000" w:rsidDel="00000000" w:rsidP="00000000" w:rsidRDefault="00000000" w:rsidRPr="00000000" w14:paraId="00000002">
            <w:pPr>
              <w:spacing w:after="0" w:line="240" w:lineRule="auto"/>
              <w:jc w:val="center"/>
              <w:rPr>
                <w:b w:val="1"/>
              </w:rPr>
            </w:pPr>
            <w:bookmarkStart w:colFirst="0" w:colLast="0" w:name="_heading=h.1fob9te" w:id="0"/>
            <w:bookmarkEnd w:id="0"/>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Стандартна робоча процедура</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щодо реалізації Програми надання міні - грантів, яка впроваджується проєктом «</w:t>
            </w:r>
            <w:r w:rsidDel="00000000" w:rsidR="00000000" w:rsidRPr="00000000">
              <w:rPr>
                <w:i w:val="1"/>
                <w:rtl w:val="0"/>
              </w:rPr>
              <w:t xml:space="preserve">Негайна багатогалузева гуманітарна допомога ВПО та постраждалому від конфлікту населенню в Україні</w:t>
            </w:r>
            <w:r w:rsidDel="00000000" w:rsidR="00000000" w:rsidRPr="00000000">
              <w:rPr>
                <w:b w:val="1"/>
                <w:rtl w:val="0"/>
              </w:rPr>
              <w:t xml:space="preserve">» за підтримки UHF</w:t>
            </w:r>
          </w:p>
          <w:p w:rsidR="00000000" w:rsidDel="00000000" w:rsidP="00000000" w:rsidRDefault="00000000" w:rsidRPr="00000000" w14:paraId="00000005">
            <w:pPr>
              <w:spacing w:after="0" w:line="240" w:lineRule="auto"/>
              <w:jc w:val="center"/>
              <w:rPr>
                <w:sz w:val="18"/>
                <w:szCs w:val="18"/>
              </w:rPr>
            </w:pPr>
            <w:r w:rsidDel="00000000" w:rsidR="00000000" w:rsidRPr="00000000">
              <w:rPr>
                <w:rtl w:val="0"/>
              </w:rPr>
            </w:r>
          </w:p>
        </w:tc>
      </w:tr>
    </w:tbl>
    <w:p w:rsidR="00000000" w:rsidDel="00000000" w:rsidP="00000000" w:rsidRDefault="00000000" w:rsidRPr="00000000" w14:paraId="00000006">
      <w:pPr>
        <w:spacing w:after="0" w:line="240" w:lineRule="auto"/>
        <w:ind w:firstLine="720"/>
        <w:jc w:val="both"/>
        <w:rPr/>
      </w:pPr>
      <w:bookmarkStart w:colFirst="0" w:colLast="0" w:name="_heading=h.gjdgxs" w:id="1"/>
      <w:bookmarkEnd w:id="1"/>
      <w:r w:rsidDel="00000000" w:rsidR="00000000" w:rsidRPr="00000000">
        <w:rPr>
          <w:rtl w:val="0"/>
        </w:rPr>
        <w:t xml:space="preserve">З метою реалізації фінансування заявок на участь у конкурсі міні - грантів застосовується нижченаведений Порядок. Даний Порядок передбачає проведення підготовчих дій щодо оповіщення про майбутній конкурс, складання списку потенційних Грантоотримучів, здійснення попередньої верифікації цих осіб, включення усіх потенційних Грантоотримувачів до попереднього списку, встановлення відповідності та відбір Грантоотримувачів відповідно до критеріїв проєкту та визначення поетапної процедури фінансування та звітності по мінігранту.</w:t>
      </w:r>
    </w:p>
    <w:p w:rsidR="00000000" w:rsidDel="00000000" w:rsidP="00000000" w:rsidRDefault="00000000" w:rsidRPr="00000000" w14:paraId="00000007">
      <w:pPr>
        <w:spacing w:after="0" w:line="240" w:lineRule="auto"/>
        <w:ind w:firstLine="720"/>
        <w:jc w:val="both"/>
        <w:rPr/>
      </w:pPr>
      <w:r w:rsidDel="00000000" w:rsidR="00000000" w:rsidRPr="00000000">
        <w:rPr>
          <w:rtl w:val="0"/>
        </w:rPr>
      </w:r>
    </w:p>
    <w:p w:rsidR="00000000" w:rsidDel="00000000" w:rsidP="00000000" w:rsidRDefault="00000000" w:rsidRPr="00000000" w14:paraId="00000008">
      <w:pPr>
        <w:spacing w:after="0" w:line="240" w:lineRule="auto"/>
        <w:ind w:firstLine="720"/>
        <w:jc w:val="both"/>
        <w:rPr/>
      </w:pPr>
      <w:r w:rsidDel="00000000" w:rsidR="00000000" w:rsidRPr="00000000">
        <w:rPr>
          <w:rtl w:val="0"/>
        </w:rPr>
        <w:t xml:space="preserve">Під час реалізації всіх конкурсних дій кожний Грантоотримувач дотримується гуманітарних принципів та вживає заходів щодо підтримання високих стандартів реалізації проєкту. Специфіка забезпечення отримання допомоги тим, хто її потребує, передбачає не тільки наявність кінцевого результату, але, що найважливіше, якісне та професійно виважене проведення всіх етапів роботи, в яких Грантоотримувачі контактують з потребуючими допомоги людьми.</w:t>
      </w:r>
      <w:r w:rsidDel="00000000" w:rsidR="00000000" w:rsidRPr="00000000">
        <w:rPr>
          <w:b w:val="1"/>
          <w:rtl w:val="0"/>
        </w:rPr>
        <w:t xml:space="preserve"> </w:t>
      </w:r>
      <w:r w:rsidDel="00000000" w:rsidR="00000000" w:rsidRPr="00000000">
        <w:rPr>
          <w:rtl w:val="0"/>
        </w:rPr>
        <w:t xml:space="preserve">При цьому доступність відомостей щодо порядку підтримання зворотного зв’язку є необхідною умовою для здійснення гуманітарного процесу, адже критеріями якості втілення конкурсного проєкту є рівень задоволення отриманою допомогою, як під час отримання допомоги, так й протягом її споживання.</w:t>
      </w:r>
    </w:p>
    <w:p w:rsidR="00000000" w:rsidDel="00000000" w:rsidP="00000000" w:rsidRDefault="00000000" w:rsidRPr="00000000" w14:paraId="00000009">
      <w:pPr>
        <w:spacing w:after="0" w:line="240" w:lineRule="auto"/>
        <w:ind w:firstLine="720"/>
        <w:jc w:val="both"/>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pPr>
      <w:r w:rsidDel="00000000" w:rsidR="00000000" w:rsidRPr="00000000">
        <w:rPr>
          <w:rtl w:val="0"/>
        </w:rPr>
        <w:t xml:space="preserve">Надання міні - грантів згідно </w:t>
      </w:r>
      <w:r w:rsidDel="00000000" w:rsidR="00000000" w:rsidRPr="00000000">
        <w:rPr>
          <w:rtl w:val="0"/>
        </w:rPr>
        <w:t xml:space="preserve">з даною</w:t>
      </w:r>
      <w:r w:rsidDel="00000000" w:rsidR="00000000" w:rsidRPr="00000000">
        <w:rPr>
          <w:rtl w:val="0"/>
        </w:rPr>
        <w:t xml:space="preserve"> Програмою здійснюється в межах Львівської, Вінницької та Чернівецької областей, що передбачає її надання у грошовій формі у розмірі 2 000 $ максимум (шляхом перерахування на поточний рахунок Грантоотримувача </w:t>
      </w:r>
      <w:r w:rsidDel="00000000" w:rsidR="00000000" w:rsidRPr="00000000">
        <w:rPr>
          <w:rFonts w:ascii="Calibri" w:cs="Calibri" w:eastAsia="Calibri" w:hAnsi="Calibri"/>
          <w:color w:val="0d0d0d"/>
          <w:highlight w:val="white"/>
          <w:rtl w:val="0"/>
        </w:rPr>
        <w:t xml:space="preserve">в гривнях за офіційним курсом Національного банку України, встановленим для відповідної валюти на день платежу, якщо інший порядок її визначення не встановлений договором або законом чи іншим нормативно-правовим актом</w:t>
      </w:r>
      <w:r w:rsidDel="00000000" w:rsidR="00000000" w:rsidRPr="00000000">
        <w:rPr>
          <w:rFonts w:ascii="Calibri" w:cs="Calibri" w:eastAsia="Calibri" w:hAnsi="Calibri"/>
          <w:rtl w:val="0"/>
        </w:rPr>
        <w:t xml:space="preserve">)</w:t>
      </w:r>
      <w:r w:rsidDel="00000000" w:rsidR="00000000" w:rsidRPr="00000000">
        <w:rPr>
          <w:rtl w:val="0"/>
        </w:rPr>
        <w:t xml:space="preserve"> для 14 (чотирнадцяти) благодійних неприбуткових організацій/громадських організацій, що будуть відібрані за результатами конкурсу.</w:t>
      </w:r>
    </w:p>
    <w:p w:rsidR="00000000" w:rsidDel="00000000" w:rsidP="00000000" w:rsidRDefault="00000000" w:rsidRPr="00000000" w14:paraId="0000000B">
      <w:pPr>
        <w:spacing w:after="0" w:line="240" w:lineRule="auto"/>
        <w:ind w:firstLine="720"/>
        <w:jc w:val="both"/>
        <w:rPr/>
      </w:pPr>
      <w:r w:rsidDel="00000000" w:rsidR="00000000" w:rsidRPr="00000000">
        <w:rPr>
          <w:rtl w:val="0"/>
        </w:rPr>
      </w:r>
    </w:p>
    <w:p w:rsidR="00000000" w:rsidDel="00000000" w:rsidP="00000000" w:rsidRDefault="00000000" w:rsidRPr="00000000" w14:paraId="0000000C">
      <w:pPr>
        <w:spacing w:after="0" w:line="240" w:lineRule="auto"/>
        <w:ind w:firstLine="720"/>
        <w:jc w:val="both"/>
        <w:rPr/>
      </w:pPr>
      <w:r w:rsidDel="00000000" w:rsidR="00000000" w:rsidRPr="00000000">
        <w:rPr>
          <w:rtl w:val="0"/>
        </w:rPr>
        <w:t xml:space="preserve">До числа Грантоотримувачів, які мають право брати участь у конкурсі з отримання міні - грантів належать:</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благодійні організації / громадські </w:t>
      </w:r>
      <w:r w:rsidDel="00000000" w:rsidR="00000000" w:rsidRPr="00000000">
        <w:rPr>
          <w:rtl w:val="0"/>
        </w:rPr>
        <w:t xml:space="preserve">організації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котрі можуть підтвердити свій юридичний статус необхідним пакетом документів;</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8" w:right="0" w:hanging="360"/>
        <w:jc w:val="both"/>
        <w:rPr/>
      </w:pPr>
      <w:r w:rsidDel="00000000" w:rsidR="00000000" w:rsidRPr="00000000">
        <w:rPr>
          <w:rtl w:val="0"/>
        </w:rPr>
        <w:t xml:space="preserve">організації, які подали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обґрунт</w:t>
      </w:r>
      <w:r w:rsidDel="00000000" w:rsidR="00000000" w:rsidRPr="00000000">
        <w:rPr>
          <w:rtl w:val="0"/>
        </w:rPr>
        <w:t xml:space="preserve">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ва</w:t>
      </w:r>
      <w:r w:rsidDel="00000000" w:rsidR="00000000" w:rsidRPr="00000000">
        <w:rPr>
          <w:rtl w:val="0"/>
        </w:rPr>
        <w:t xml:space="preserve">ний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проєкт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що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спрямований на покращенн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умов проживання та забезпечення у закладах соціального захисту та догляду за дітьми;</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8" w:right="0" w:hanging="360"/>
        <w:jc w:val="both"/>
        <w:rPr/>
      </w:pPr>
      <w:r w:rsidDel="00000000" w:rsidR="00000000" w:rsidRPr="00000000">
        <w:rPr>
          <w:rtl w:val="0"/>
        </w:rPr>
        <w:t xml:space="preserve">організації</w:t>
      </w:r>
      <w:r w:rsidDel="00000000" w:rsidR="00000000" w:rsidRPr="00000000">
        <w:rPr>
          <w:rtl w:val="0"/>
        </w:rPr>
        <w:t xml:space="preserve">, які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процесі своєї діяльності втіл</w:t>
      </w:r>
      <w:r w:rsidDel="00000000" w:rsidR="00000000" w:rsidRPr="00000000">
        <w:rPr>
          <w:rtl w:val="0"/>
        </w:rPr>
        <w:t xml:space="preserve">или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не менше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 про</w:t>
      </w:r>
      <w:r w:rsidDel="00000000" w:rsidR="00000000" w:rsidRPr="00000000">
        <w:rPr>
          <w:rtl w:val="0"/>
        </w:rPr>
        <w:t xml:space="preserve">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ктів спрямованих на допомогу закладам соціального типу, а МКП та ВПО будуть мати перевагу;</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pPr>
      <w:r w:rsidDel="00000000" w:rsidR="00000000" w:rsidRPr="00000000">
        <w:rPr>
          <w:rtl w:val="0"/>
        </w:rPr>
        <w:t xml:space="preserve">До числа Грантоотримувачів, котрі не мають права брати участь у конкурсі з отримання міні - грантів належать:</w:t>
      </w:r>
    </w:p>
    <w:p w:rsidR="00000000" w:rsidDel="00000000" w:rsidP="00000000" w:rsidRDefault="00000000" w:rsidRPr="00000000" w14:paraId="00000012">
      <w:pPr>
        <w:numPr>
          <w:ilvl w:val="0"/>
          <w:numId w:val="7"/>
        </w:numPr>
        <w:spacing w:after="0" w:line="240" w:lineRule="auto"/>
        <w:ind w:left="720" w:firstLine="413.8582677165351"/>
        <w:jc w:val="both"/>
      </w:pPr>
      <w:r w:rsidDel="00000000" w:rsidR="00000000" w:rsidRPr="00000000">
        <w:rPr>
          <w:rtl w:val="0"/>
        </w:rPr>
        <w:t xml:space="preserve">благодійні організації / громадські організації, котрі знаходяться в стані ліквідації;</w:t>
      </w:r>
    </w:p>
    <w:p w:rsidR="00000000" w:rsidDel="00000000" w:rsidP="00000000" w:rsidRDefault="00000000" w:rsidRPr="00000000" w14:paraId="00000013">
      <w:pPr>
        <w:numPr>
          <w:ilvl w:val="0"/>
          <w:numId w:val="7"/>
        </w:numPr>
        <w:spacing w:after="0" w:line="240" w:lineRule="auto"/>
        <w:ind w:left="720" w:firstLine="413.8582677165351"/>
        <w:jc w:val="both"/>
        <w:rPr/>
      </w:pPr>
      <w:r w:rsidDel="00000000" w:rsidR="00000000" w:rsidRPr="00000000">
        <w:rPr>
          <w:highlight w:val="white"/>
          <w:rtl w:val="0"/>
        </w:rPr>
        <w:t xml:space="preserve">мають правовідносини та\або надають ресурси і підтримку особам і організаціям, пов'язан</w:t>
      </w:r>
      <w:r w:rsidDel="00000000" w:rsidR="00000000" w:rsidRPr="00000000">
        <w:rPr>
          <w:highlight w:val="white"/>
          <w:rtl w:val="0"/>
        </w:rPr>
        <w:t xml:space="preserve">им з тероризмом;</w:t>
      </w:r>
    </w:p>
    <w:p w:rsidR="00000000" w:rsidDel="00000000" w:rsidP="00000000" w:rsidRDefault="00000000" w:rsidRPr="00000000" w14:paraId="00000014">
      <w:pPr>
        <w:numPr>
          <w:ilvl w:val="0"/>
          <w:numId w:val="7"/>
        </w:numPr>
        <w:spacing w:after="0" w:line="240" w:lineRule="auto"/>
        <w:ind w:left="720" w:firstLine="413.8582677165351"/>
        <w:jc w:val="both"/>
        <w:rPr>
          <w:highlight w:val="white"/>
        </w:rPr>
      </w:pPr>
      <w:r w:rsidDel="00000000" w:rsidR="00000000" w:rsidRPr="00000000">
        <w:rPr>
          <w:highlight w:val="white"/>
          <w:rtl w:val="0"/>
        </w:rPr>
        <w:t xml:space="preserve">докладали будь-яких зусиль або вчиняли дії для впливу на членів Грантоотримувача чи  адміністратора конкурсу з метою незаконного прийняття рішення на їхню користь.</w:t>
      </w:r>
    </w:p>
    <w:p w:rsidR="00000000" w:rsidDel="00000000" w:rsidP="00000000" w:rsidRDefault="00000000" w:rsidRPr="00000000" w14:paraId="00000015">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16">
      <w:pPr>
        <w:spacing w:after="0" w:line="240" w:lineRule="auto"/>
        <w:ind w:left="0" w:firstLine="708.6614173228347"/>
        <w:jc w:val="both"/>
        <w:rPr>
          <w:highlight w:val="white"/>
        </w:rPr>
      </w:pPr>
      <w:r w:rsidDel="00000000" w:rsidR="00000000" w:rsidRPr="00000000">
        <w:rPr>
          <w:highlight w:val="white"/>
          <w:rtl w:val="0"/>
        </w:rPr>
        <w:t xml:space="preserve">У межах конкурсу не може бути підтримана діяльність Грантоотримувачі:</w:t>
      </w:r>
    </w:p>
    <w:p w:rsidR="00000000" w:rsidDel="00000000" w:rsidP="00000000" w:rsidRDefault="00000000" w:rsidRPr="00000000" w14:paraId="00000017">
      <w:pPr>
        <w:numPr>
          <w:ilvl w:val="0"/>
          <w:numId w:val="8"/>
        </w:numPr>
        <w:spacing w:after="0" w:line="240" w:lineRule="auto"/>
        <w:ind w:left="720" w:firstLine="413.8582677165351"/>
        <w:jc w:val="both"/>
        <w:rPr>
          <w:highlight w:val="white"/>
          <w:u w:val="none"/>
        </w:rPr>
      </w:pPr>
      <w:r w:rsidDel="00000000" w:rsidR="00000000" w:rsidRPr="00000000">
        <w:rPr>
          <w:highlight w:val="white"/>
          <w:rtl w:val="0"/>
        </w:rPr>
        <w:t xml:space="preserve"> яка передбачає політичні, партійні та передвиборчі заходи, або носить ознаки політичної чи партійної агітації;</w:t>
      </w:r>
    </w:p>
    <w:p w:rsidR="00000000" w:rsidDel="00000000" w:rsidP="00000000" w:rsidRDefault="00000000" w:rsidRPr="00000000" w14:paraId="00000018">
      <w:pPr>
        <w:numPr>
          <w:ilvl w:val="0"/>
          <w:numId w:val="8"/>
        </w:numPr>
        <w:spacing w:after="0" w:line="240" w:lineRule="auto"/>
        <w:ind w:left="720" w:firstLine="413.8582677165351"/>
        <w:jc w:val="both"/>
        <w:rPr>
          <w:highlight w:val="white"/>
          <w:u w:val="none"/>
        </w:rPr>
      </w:pPr>
      <w:r w:rsidDel="00000000" w:rsidR="00000000" w:rsidRPr="00000000">
        <w:rPr>
          <w:highlight w:val="white"/>
          <w:rtl w:val="0"/>
        </w:rPr>
        <w:t xml:space="preserve"> яка вже фінансується чи була профінансована раніше з інших джерел;</w:t>
      </w:r>
    </w:p>
    <w:p w:rsidR="00000000" w:rsidDel="00000000" w:rsidP="00000000" w:rsidRDefault="00000000" w:rsidRPr="00000000" w14:paraId="00000019">
      <w:pPr>
        <w:numPr>
          <w:ilvl w:val="0"/>
          <w:numId w:val="8"/>
        </w:numPr>
        <w:spacing w:after="0" w:line="240" w:lineRule="auto"/>
        <w:ind w:left="720" w:firstLine="413.8582677165351"/>
        <w:jc w:val="both"/>
        <w:rPr>
          <w:highlight w:val="white"/>
          <w:u w:val="none"/>
        </w:rPr>
      </w:pPr>
      <w:r w:rsidDel="00000000" w:rsidR="00000000" w:rsidRPr="00000000">
        <w:rPr>
          <w:highlight w:val="white"/>
          <w:rtl w:val="0"/>
        </w:rPr>
        <w:t xml:space="preserve"> яка є частиною ширшого проекту, що фінансується іншими донорами;</w:t>
      </w:r>
    </w:p>
    <w:p w:rsidR="00000000" w:rsidDel="00000000" w:rsidP="00000000" w:rsidRDefault="00000000" w:rsidRPr="00000000" w14:paraId="0000001A">
      <w:pPr>
        <w:numPr>
          <w:ilvl w:val="0"/>
          <w:numId w:val="8"/>
        </w:numPr>
        <w:spacing w:after="0" w:line="240" w:lineRule="auto"/>
        <w:ind w:left="720" w:firstLine="413.8582677165351"/>
        <w:jc w:val="both"/>
        <w:rPr>
          <w:highlight w:val="white"/>
          <w:u w:val="none"/>
        </w:rPr>
      </w:pPr>
      <w:r w:rsidDel="00000000" w:rsidR="00000000" w:rsidRPr="00000000">
        <w:rPr>
          <w:highlight w:val="white"/>
          <w:rtl w:val="0"/>
        </w:rPr>
        <w:t xml:space="preserve"> яка суперечить вимогам українського законодавства.</w:t>
      </w:r>
    </w:p>
    <w:p w:rsidR="00000000" w:rsidDel="00000000" w:rsidP="00000000" w:rsidRDefault="00000000" w:rsidRPr="00000000" w14:paraId="0000001B">
      <w:pPr>
        <w:spacing w:after="0" w:line="240" w:lineRule="auto"/>
        <w:ind w:firstLine="720"/>
        <w:jc w:val="both"/>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pPr>
      <w:r w:rsidDel="00000000" w:rsidR="00000000" w:rsidRPr="00000000">
        <w:rPr>
          <w:rtl w:val="0"/>
        </w:rPr>
        <w:t xml:space="preserve">До числа закладів, які мають право отримати допомогу від Грантоотримувачів згідно </w:t>
      </w:r>
      <w:r w:rsidDel="00000000" w:rsidR="00000000" w:rsidRPr="00000000">
        <w:rPr>
          <w:rtl w:val="0"/>
        </w:rPr>
        <w:t xml:space="preserve">з цією програмою</w:t>
      </w:r>
      <w:r w:rsidDel="00000000" w:rsidR="00000000" w:rsidRPr="00000000">
        <w:rPr>
          <w:rtl w:val="0"/>
        </w:rPr>
        <w:t xml:space="preserve">, належать установи соціального захисту та догляду за дітьми, в котрих перебувають внутрішньо переміщені особи </w:t>
      </w:r>
      <w:r w:rsidDel="00000000" w:rsidR="00000000" w:rsidRPr="00000000">
        <w:rPr>
          <w:rtl w:val="0"/>
        </w:rPr>
        <w:t xml:space="preserve">(ВПО</w:t>
      </w:r>
      <w:r w:rsidDel="00000000" w:rsidR="00000000" w:rsidRPr="00000000">
        <w:rPr>
          <w:rtl w:val="0"/>
        </w:rPr>
        <w:t xml:space="preserve">), що отримали офіційний статус або можуть підтвердити вимушене переміщення місцем реєстрації й належать до однієї з наступних вразливих груп:</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матері з дітьми до </w:t>
      </w:r>
      <w:r w:rsidDel="00000000" w:rsidR="00000000" w:rsidRPr="00000000">
        <w:rPr>
          <w:rtl w:val="0"/>
        </w:rPr>
        <w:t xml:space="preserve">18 р</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оків;</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матері, що мають двох і більше дітей до 18 років;</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люди з інвалідністю 1 та 2 групи,</w:t>
      </w:r>
      <w:r w:rsidDel="00000000" w:rsidR="00000000" w:rsidRPr="00000000">
        <w:rPr>
          <w:rtl w:val="0"/>
        </w:rPr>
        <w:t xml:space="preserve"> які</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не здатні самостійно пересуватися або потребують додатково догляду;</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одинокі пенсіонери</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pPr>
      <w:r w:rsidDel="00000000" w:rsidR="00000000" w:rsidRPr="00000000">
        <w:rPr>
          <w:rtl w:val="0"/>
        </w:rPr>
        <w:t xml:space="preserve">діти сироти/позбавлені батьківського піклування.</w:t>
      </w: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ind w:firstLine="709"/>
        <w:jc w:val="both"/>
        <w:rPr/>
      </w:pPr>
      <w:r w:rsidDel="00000000" w:rsidR="00000000" w:rsidRPr="00000000">
        <w:rPr>
          <w:rtl w:val="0"/>
        </w:rPr>
        <w:t xml:space="preserve">До переліку забезпечень (далі – Забезпечення), на котрі будуть спрямовані кошти Грантонадавача належать наступні товари, роботи та витратні матеріали:</w:t>
      </w:r>
      <w:r w:rsidDel="00000000" w:rsidR="00000000" w:rsidRPr="00000000">
        <w:rPr>
          <w:rtl w:val="0"/>
        </w:rPr>
      </w:r>
    </w:p>
    <w:p w:rsidR="00000000" w:rsidDel="00000000" w:rsidP="00000000" w:rsidRDefault="00000000" w:rsidRPr="00000000" w14:paraId="00000024">
      <w:pPr>
        <w:spacing w:after="0" w:line="240" w:lineRule="auto"/>
        <w:ind w:left="0" w:firstLine="0"/>
        <w:jc w:val="both"/>
        <w:rPr/>
      </w:pPr>
      <w:r w:rsidDel="00000000" w:rsidR="00000000" w:rsidRPr="00000000">
        <w:rPr>
          <w:rtl w:val="0"/>
        </w:rPr>
      </w:r>
    </w:p>
    <w:p w:rsidR="00000000" w:rsidDel="00000000" w:rsidP="00000000" w:rsidRDefault="00000000" w:rsidRPr="00000000" w14:paraId="00000025">
      <w:pPr>
        <w:numPr>
          <w:ilvl w:val="1"/>
          <w:numId w:val="3"/>
        </w:numPr>
        <w:spacing w:after="0" w:line="240" w:lineRule="auto"/>
        <w:ind w:left="1440" w:hanging="306.1417322834649"/>
        <w:jc w:val="both"/>
      </w:pPr>
      <w:r w:rsidDel="00000000" w:rsidR="00000000" w:rsidRPr="00000000">
        <w:rPr>
          <w:rtl w:val="0"/>
        </w:rPr>
        <w:t xml:space="preserve">в</w:t>
      </w:r>
      <w:r w:rsidDel="00000000" w:rsidR="00000000" w:rsidRPr="00000000">
        <w:rPr>
          <w:rtl w:val="0"/>
        </w:rPr>
        <w:t xml:space="preserve">елика побутова техніка (холодильники, пральні машини, електричні кухонні плити, кухонні витяжки тощо);</w:t>
      </w:r>
    </w:p>
    <w:p w:rsidR="00000000" w:rsidDel="00000000" w:rsidP="00000000" w:rsidRDefault="00000000" w:rsidRPr="00000000" w14:paraId="00000026">
      <w:pPr>
        <w:numPr>
          <w:ilvl w:val="1"/>
          <w:numId w:val="3"/>
        </w:numPr>
        <w:spacing w:after="0" w:line="240" w:lineRule="auto"/>
        <w:ind w:left="1440" w:hanging="360"/>
        <w:jc w:val="both"/>
      </w:pPr>
      <w:r w:rsidDel="00000000" w:rsidR="00000000" w:rsidRPr="00000000">
        <w:rPr>
          <w:rtl w:val="0"/>
        </w:rPr>
        <w:t xml:space="preserve">дрібна побутова техніка (електрочайники, блендери, мультиварки тощо)</w:t>
      </w:r>
    </w:p>
    <w:p w:rsidR="00000000" w:rsidDel="00000000" w:rsidP="00000000" w:rsidRDefault="00000000" w:rsidRPr="00000000" w14:paraId="00000027">
      <w:pPr>
        <w:numPr>
          <w:ilvl w:val="1"/>
          <w:numId w:val="3"/>
        </w:numPr>
        <w:spacing w:after="0" w:line="240" w:lineRule="auto"/>
        <w:ind w:left="1440" w:hanging="360"/>
        <w:jc w:val="both"/>
      </w:pPr>
      <w:r w:rsidDel="00000000" w:rsidR="00000000" w:rsidRPr="00000000">
        <w:rPr>
          <w:rtl w:val="0"/>
        </w:rPr>
        <w:t xml:space="preserve">матраци, ламелі, каркаси для забезпечення ліжкомісць;</w:t>
      </w:r>
    </w:p>
    <w:p w:rsidR="00000000" w:rsidDel="00000000" w:rsidP="00000000" w:rsidRDefault="00000000" w:rsidRPr="00000000" w14:paraId="00000028">
      <w:pPr>
        <w:numPr>
          <w:ilvl w:val="1"/>
          <w:numId w:val="3"/>
        </w:numPr>
        <w:spacing w:after="0" w:line="240" w:lineRule="auto"/>
        <w:ind w:left="1440" w:hanging="360"/>
        <w:jc w:val="both"/>
      </w:pPr>
      <w:r w:rsidDel="00000000" w:rsidR="00000000" w:rsidRPr="00000000">
        <w:rPr>
          <w:rtl w:val="0"/>
        </w:rPr>
        <w:t xml:space="preserve">медичні меблі;</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техніка по догляду  (електробритви, фени тощо);</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реабілітаційне обладнання;</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ортопедична продукція;</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засоби по догляду за дітьми та людьми похилого віку;</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капітальний ремонт приміщення;</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косметичний ремонт приміщення;</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u w:val="none"/>
        </w:rPr>
      </w:pPr>
      <w:r w:rsidDel="00000000" w:rsidR="00000000" w:rsidRPr="00000000">
        <w:rPr>
          <w:rtl w:val="0"/>
        </w:rPr>
        <w:t xml:space="preserve">технічне облаштування кімнат для вільного проведення часу;</w:t>
      </w:r>
    </w:p>
    <w:p w:rsidR="00000000" w:rsidDel="00000000" w:rsidP="00000000" w:rsidRDefault="00000000" w:rsidRPr="00000000" w14:paraId="00000030">
      <w:pPr>
        <w:numPr>
          <w:ilvl w:val="1"/>
          <w:numId w:val="3"/>
        </w:numPr>
        <w:spacing w:after="0" w:line="240" w:lineRule="auto"/>
        <w:ind w:left="1440" w:hanging="360"/>
        <w:jc w:val="both"/>
      </w:pPr>
      <w:r w:rsidDel="00000000" w:rsidR="00000000" w:rsidRPr="00000000">
        <w:rPr>
          <w:rtl w:val="0"/>
        </w:rPr>
        <w:t xml:space="preserve">інші, в разі погодження ПнЗ</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ind w:firstLine="720"/>
        <w:jc w:val="both"/>
        <w:rPr/>
      </w:pPr>
      <w:r w:rsidDel="00000000" w:rsidR="00000000" w:rsidRPr="00000000">
        <w:rPr>
          <w:rtl w:val="0"/>
        </w:rPr>
        <w:t xml:space="preserve">З метою здійснення дій щодо виплати грошового забезпечення міні - гранту у межах реалізації проєкту рекомендовано наступний ряд дій:</w:t>
      </w:r>
    </w:p>
    <w:p w:rsidR="00000000" w:rsidDel="00000000" w:rsidP="00000000" w:rsidRDefault="00000000" w:rsidRPr="00000000" w14:paraId="00000033">
      <w:pPr>
        <w:spacing w:after="0" w:line="240" w:lineRule="auto"/>
        <w:ind w:left="0" w:firstLine="0"/>
        <w:jc w:val="both"/>
        <w:rPr/>
      </w:pPr>
      <w:r w:rsidDel="00000000" w:rsidR="00000000" w:rsidRPr="00000000">
        <w:rPr>
          <w:rtl w:val="0"/>
        </w:rPr>
      </w:r>
    </w:p>
    <w:p w:rsidR="00000000" w:rsidDel="00000000" w:rsidP="00000000" w:rsidRDefault="00000000" w:rsidRPr="00000000" w14:paraId="00000034">
      <w:pPr>
        <w:spacing w:after="0" w:line="240" w:lineRule="auto"/>
        <w:ind w:firstLine="720"/>
        <w:jc w:val="both"/>
        <w:rPr/>
      </w:pPr>
      <w:r w:rsidDel="00000000" w:rsidR="00000000" w:rsidRPr="00000000">
        <w:rPr>
          <w:rtl w:val="0"/>
        </w:rPr>
      </w:r>
    </w:p>
    <w:p w:rsidR="00000000" w:rsidDel="00000000" w:rsidP="00000000" w:rsidRDefault="00000000" w:rsidRPr="00000000" w14:paraId="00000035">
      <w:pPr>
        <w:numPr>
          <w:ilvl w:val="0"/>
          <w:numId w:val="6"/>
        </w:numPr>
        <w:spacing w:after="0" w:line="240" w:lineRule="auto"/>
        <w:ind w:left="850.3937007874017"/>
        <w:jc w:val="both"/>
      </w:pPr>
      <w:r w:rsidDel="00000000" w:rsidR="00000000" w:rsidRPr="00000000">
        <w:rPr>
          <w:rtl w:val="0"/>
        </w:rPr>
        <w:t xml:space="preserve">Прийом заявок Грантоотримувачів здійснюватиметься по 18 вересня 2022 року включно на електронну адресу Адміністратора міні - грантів </w:t>
      </w:r>
      <w:hyperlink r:id="rId7">
        <w:r w:rsidDel="00000000" w:rsidR="00000000" w:rsidRPr="00000000">
          <w:rPr>
            <w:color w:val="1155cc"/>
            <w:sz w:val="21"/>
            <w:szCs w:val="21"/>
            <w:highlight w:val="white"/>
            <w:u w:val="single"/>
            <w:rtl w:val="0"/>
          </w:rPr>
          <w:t xml:space="preserve">y.makarova@r2p.org.ua</w:t>
        </w:r>
      </w:hyperlink>
      <w:r w:rsidDel="00000000" w:rsidR="00000000" w:rsidRPr="00000000">
        <w:rPr>
          <w:rtl w:val="0"/>
        </w:rPr>
        <w:t xml:space="preserve">. </w:t>
      </w:r>
      <w:r w:rsidDel="00000000" w:rsidR="00000000" w:rsidRPr="00000000">
        <w:rPr>
          <w:highlight w:val="white"/>
          <w:rtl w:val="0"/>
        </w:rPr>
        <w:t xml:space="preserve">Організація, яка відповідає вимогам до заявників , який проводиться в межах проекту «Негайна багатогалузева гуманітарна допомога ВПО та постраждалому від конфлікту населенню в Україні», а також зареєстрована та працює в цільових областях, для участі у конкурсі повинна подати заповнену проектну пропозицію встановленого зразка з обов’язковими додатками: </w:t>
      </w:r>
    </w:p>
    <w:p w:rsidR="00000000" w:rsidDel="00000000" w:rsidP="00000000" w:rsidRDefault="00000000" w:rsidRPr="00000000" w14:paraId="00000036">
      <w:pPr>
        <w:spacing w:after="0" w:line="240" w:lineRule="auto"/>
        <w:ind w:left="720" w:firstLine="130.39370078740177"/>
        <w:jc w:val="both"/>
        <w:rPr/>
      </w:pP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720" w:firstLine="697.3228346456693"/>
        <w:jc w:val="both"/>
        <w:rPr>
          <w:highlight w:val="white"/>
        </w:rPr>
      </w:pPr>
      <w:r w:rsidDel="00000000" w:rsidR="00000000" w:rsidRPr="00000000">
        <w:rPr>
          <w:highlight w:val="white"/>
          <w:rtl w:val="0"/>
        </w:rPr>
        <w:t xml:space="preserve">Додаток 1. Мотиваційний лист;</w:t>
      </w:r>
    </w:p>
    <w:p w:rsidR="00000000" w:rsidDel="00000000" w:rsidP="00000000" w:rsidRDefault="00000000" w:rsidRPr="00000000" w14:paraId="00000038">
      <w:pPr>
        <w:numPr>
          <w:ilvl w:val="0"/>
          <w:numId w:val="5"/>
        </w:numPr>
        <w:spacing w:after="0" w:line="240" w:lineRule="auto"/>
        <w:ind w:left="720" w:firstLine="697.3228346456693"/>
        <w:jc w:val="both"/>
        <w:rPr>
          <w:highlight w:val="white"/>
        </w:rPr>
      </w:pPr>
      <w:r w:rsidDel="00000000" w:rsidR="00000000" w:rsidRPr="00000000">
        <w:rPr>
          <w:highlight w:val="white"/>
          <w:rtl w:val="0"/>
        </w:rPr>
        <w:t xml:space="preserve">Додаток 2. Бюджет міні - гранту;</w:t>
      </w:r>
    </w:p>
    <w:p w:rsidR="00000000" w:rsidDel="00000000" w:rsidP="00000000" w:rsidRDefault="00000000" w:rsidRPr="00000000" w14:paraId="00000039">
      <w:pPr>
        <w:numPr>
          <w:ilvl w:val="0"/>
          <w:numId w:val="5"/>
        </w:numPr>
        <w:spacing w:after="0" w:line="240" w:lineRule="auto"/>
        <w:ind w:left="720" w:firstLine="697.3228346456693"/>
        <w:jc w:val="both"/>
        <w:rPr>
          <w:highlight w:val="white"/>
        </w:rPr>
      </w:pPr>
      <w:r w:rsidDel="00000000" w:rsidR="00000000" w:rsidRPr="00000000">
        <w:rPr>
          <w:highlight w:val="white"/>
          <w:rtl w:val="0"/>
        </w:rPr>
        <w:t xml:space="preserve">Додаток 3. Пропозиція Грантоотримувача (з усіма додатками, що він передбачає);</w:t>
      </w:r>
    </w:p>
    <w:p w:rsidR="00000000" w:rsidDel="00000000" w:rsidP="00000000" w:rsidRDefault="00000000" w:rsidRPr="00000000" w14:paraId="0000003A">
      <w:pPr>
        <w:numPr>
          <w:ilvl w:val="0"/>
          <w:numId w:val="5"/>
        </w:numPr>
        <w:spacing w:after="0" w:line="240" w:lineRule="auto"/>
        <w:ind w:left="720" w:firstLine="697.3228346456693"/>
        <w:jc w:val="both"/>
        <w:rPr>
          <w:highlight w:val="white"/>
        </w:rPr>
      </w:pPr>
      <w:r w:rsidDel="00000000" w:rsidR="00000000" w:rsidRPr="00000000">
        <w:rPr>
          <w:highlight w:val="white"/>
          <w:rtl w:val="0"/>
        </w:rPr>
        <w:t xml:space="preserve">Додаток 4. Фінансовий звіт.</w:t>
      </w:r>
    </w:p>
    <w:p w:rsidR="00000000" w:rsidDel="00000000" w:rsidP="00000000" w:rsidRDefault="00000000" w:rsidRPr="00000000" w14:paraId="0000003B">
      <w:pPr>
        <w:numPr>
          <w:ilvl w:val="0"/>
          <w:numId w:val="5"/>
        </w:numPr>
        <w:spacing w:after="0" w:line="240" w:lineRule="auto"/>
        <w:ind w:left="720" w:firstLine="697.3228346456693"/>
        <w:jc w:val="both"/>
        <w:rPr>
          <w:highlight w:val="white"/>
        </w:rPr>
      </w:pPr>
      <w:r w:rsidDel="00000000" w:rsidR="00000000" w:rsidRPr="00000000">
        <w:rPr>
          <w:highlight w:val="white"/>
          <w:rtl w:val="0"/>
        </w:rPr>
        <w:t xml:space="preserve">Додаток 5. Інші додатки, котрі організація-заявник вважає доречними додати.</w:t>
      </w:r>
    </w:p>
    <w:p w:rsidR="00000000" w:rsidDel="00000000" w:rsidP="00000000" w:rsidRDefault="00000000" w:rsidRPr="00000000" w14:paraId="0000003C">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D">
      <w:pPr>
        <w:numPr>
          <w:ilvl w:val="0"/>
          <w:numId w:val="6"/>
        </w:numPr>
        <w:spacing w:after="0" w:line="240" w:lineRule="auto"/>
        <w:ind w:left="850.3937007874017" w:hanging="850.3937007874017"/>
        <w:jc w:val="both"/>
        <w:rPr>
          <w:u w:val="none"/>
        </w:rPr>
      </w:pPr>
      <w:r w:rsidDel="00000000" w:rsidR="00000000" w:rsidRPr="00000000">
        <w:rPr>
          <w:rtl w:val="0"/>
        </w:rPr>
        <w:t xml:space="preserve">Розгляд проєктних заявок на зустрічі координаторів проєкту Грантонадавача, уповноважених ухвалювати рішення за результатами такого розгляду. Зацікавлені особи можуть звернутися також електронною поштою з питаннями чи проханням додаткового роз’яснення умов конкурсу. Адміністратор міні - грантів не надає попередньої рецензії чи порад щодо змісту того чи іншого проєкту, ініціативи.</w:t>
      </w:r>
    </w:p>
    <w:p w:rsidR="00000000" w:rsidDel="00000000" w:rsidP="00000000" w:rsidRDefault="00000000" w:rsidRPr="00000000" w14:paraId="0000003E">
      <w:pPr>
        <w:numPr>
          <w:ilvl w:val="0"/>
          <w:numId w:val="6"/>
        </w:numPr>
        <w:spacing w:after="0" w:line="240" w:lineRule="auto"/>
        <w:ind w:left="850.3937007874017" w:hanging="850.3937007874017"/>
        <w:jc w:val="both"/>
        <w:rPr>
          <w:u w:val="none"/>
        </w:rPr>
      </w:pPr>
      <w:r w:rsidDel="00000000" w:rsidR="00000000" w:rsidRPr="00000000">
        <w:rPr>
          <w:rtl w:val="0"/>
        </w:rPr>
        <w:t xml:space="preserve">Уповноважений Адміністратор протягом 3 (трьох) календарних днів з кінцевої дати прийому заявок здійснює оцінку зареєстрованих заявок на відповідність вимогам. Така оцінка передбачає перевірку повноти поданих необхідних документів, відповідність учасника конкурсу встановленим критеріям участі. Результати оцінки заносяться у відповідну оцінювальну форму. На підставі заповнених оцінювальних форм складається відповідний протокол про результати оцінки, в якому зазначаються такі дані: </w:t>
      </w:r>
    </w:p>
    <w:p w:rsidR="00000000" w:rsidDel="00000000" w:rsidP="00000000" w:rsidRDefault="00000000" w:rsidRPr="00000000" w14:paraId="0000003F">
      <w:pPr>
        <w:spacing w:after="0" w:line="240" w:lineRule="auto"/>
        <w:ind w:left="850.3937007874017" w:firstLine="0"/>
        <w:jc w:val="both"/>
        <w:rPr/>
      </w:pP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1440" w:hanging="360"/>
        <w:jc w:val="both"/>
        <w:rPr>
          <w:u w:val="none"/>
        </w:rPr>
      </w:pPr>
      <w:r w:rsidDel="00000000" w:rsidR="00000000" w:rsidRPr="00000000">
        <w:rPr>
          <w:rtl w:val="0"/>
        </w:rPr>
        <w:t xml:space="preserve">Дата складання протоколу </w:t>
      </w:r>
    </w:p>
    <w:p w:rsidR="00000000" w:rsidDel="00000000" w:rsidP="00000000" w:rsidRDefault="00000000" w:rsidRPr="00000000" w14:paraId="00000041">
      <w:pPr>
        <w:numPr>
          <w:ilvl w:val="0"/>
          <w:numId w:val="1"/>
        </w:numPr>
        <w:spacing w:after="0" w:line="240" w:lineRule="auto"/>
        <w:ind w:left="1440" w:hanging="360"/>
        <w:jc w:val="both"/>
        <w:rPr>
          <w:u w:val="none"/>
        </w:rPr>
      </w:pPr>
      <w:r w:rsidDel="00000000" w:rsidR="00000000" w:rsidRPr="00000000">
        <w:rPr>
          <w:rtl w:val="0"/>
        </w:rPr>
        <w:t xml:space="preserve">Перелік осіб, які проводили оцінку </w:t>
      </w:r>
    </w:p>
    <w:p w:rsidR="00000000" w:rsidDel="00000000" w:rsidP="00000000" w:rsidRDefault="00000000" w:rsidRPr="00000000" w14:paraId="00000042">
      <w:pPr>
        <w:numPr>
          <w:ilvl w:val="0"/>
          <w:numId w:val="1"/>
        </w:numPr>
        <w:spacing w:after="0" w:line="240" w:lineRule="auto"/>
        <w:ind w:left="1440" w:hanging="360"/>
        <w:jc w:val="both"/>
        <w:rPr>
          <w:u w:val="none"/>
        </w:rPr>
      </w:pPr>
      <w:r w:rsidDel="00000000" w:rsidR="00000000" w:rsidRPr="00000000">
        <w:rPr>
          <w:rtl w:val="0"/>
        </w:rPr>
        <w:t xml:space="preserve">Кількість заявок, що надійшли на конкурс та зареєстровані </w:t>
      </w:r>
    </w:p>
    <w:p w:rsidR="00000000" w:rsidDel="00000000" w:rsidP="00000000" w:rsidRDefault="00000000" w:rsidRPr="00000000" w14:paraId="00000043">
      <w:pPr>
        <w:numPr>
          <w:ilvl w:val="0"/>
          <w:numId w:val="1"/>
        </w:numPr>
        <w:spacing w:after="0" w:line="240" w:lineRule="auto"/>
        <w:ind w:left="1440" w:hanging="360"/>
        <w:jc w:val="both"/>
        <w:rPr>
          <w:u w:val="none"/>
        </w:rPr>
      </w:pPr>
      <w:r w:rsidDel="00000000" w:rsidR="00000000" w:rsidRPr="00000000">
        <w:rPr>
          <w:rtl w:val="0"/>
        </w:rPr>
        <w:t xml:space="preserve">Перелік заявок (реєстраційний номер заявки, назва подавача заявки, назва проєкту, сума гранту, що запитується) </w:t>
      </w:r>
    </w:p>
    <w:p w:rsidR="00000000" w:rsidDel="00000000" w:rsidP="00000000" w:rsidRDefault="00000000" w:rsidRPr="00000000" w14:paraId="00000044">
      <w:pPr>
        <w:numPr>
          <w:ilvl w:val="0"/>
          <w:numId w:val="1"/>
        </w:numPr>
        <w:spacing w:after="0" w:line="240" w:lineRule="auto"/>
        <w:ind w:left="1440" w:hanging="360"/>
        <w:jc w:val="both"/>
        <w:rPr>
          <w:u w:val="none"/>
        </w:rPr>
      </w:pPr>
      <w:r w:rsidDel="00000000" w:rsidR="00000000" w:rsidRPr="00000000">
        <w:rPr>
          <w:rtl w:val="0"/>
        </w:rPr>
        <w:t xml:space="preserve">Перелік заявок, що за результатами оцінки допущені до наступного етапу оцінки </w:t>
      </w:r>
    </w:p>
    <w:p w:rsidR="00000000" w:rsidDel="00000000" w:rsidP="00000000" w:rsidRDefault="00000000" w:rsidRPr="00000000" w14:paraId="00000045">
      <w:pPr>
        <w:spacing w:after="0" w:line="240" w:lineRule="auto"/>
        <w:ind w:left="1440" w:firstLine="0"/>
        <w:jc w:val="both"/>
        <w:rPr/>
      </w:pPr>
      <w:r w:rsidDel="00000000" w:rsidR="00000000" w:rsidRPr="00000000">
        <w:rPr>
          <w:rtl w:val="0"/>
        </w:rPr>
        <w:t xml:space="preserve">Протокол підписується особами, які здійснювали оцінку. </w:t>
      </w:r>
    </w:p>
    <w:p w:rsidR="00000000" w:rsidDel="00000000" w:rsidP="00000000" w:rsidRDefault="00000000" w:rsidRPr="00000000" w14:paraId="00000046">
      <w:pPr>
        <w:numPr>
          <w:ilvl w:val="0"/>
          <w:numId w:val="1"/>
        </w:numPr>
        <w:spacing w:after="0" w:line="240" w:lineRule="auto"/>
        <w:ind w:left="1440" w:hanging="360"/>
        <w:jc w:val="both"/>
        <w:rPr>
          <w:u w:val="none"/>
        </w:rPr>
      </w:pPr>
      <w:r w:rsidDel="00000000" w:rsidR="00000000" w:rsidRPr="00000000">
        <w:rPr>
          <w:rtl w:val="0"/>
        </w:rPr>
        <w:t xml:space="preserve">Результати оцінки на відповідність технічним критеріям повідомляються кожному учаснику індивідуально шляхом надсилання відповідного повідомлення електронною поштою.</w:t>
      </w:r>
    </w:p>
    <w:p w:rsidR="00000000" w:rsidDel="00000000" w:rsidP="00000000" w:rsidRDefault="00000000" w:rsidRPr="00000000" w14:paraId="00000047">
      <w:pPr>
        <w:numPr>
          <w:ilvl w:val="0"/>
          <w:numId w:val="1"/>
        </w:numPr>
        <w:spacing w:after="0" w:line="240" w:lineRule="auto"/>
        <w:ind w:left="1440" w:hanging="360"/>
        <w:jc w:val="both"/>
        <w:rPr>
          <w:u w:val="none"/>
        </w:rPr>
      </w:pPr>
      <w:r w:rsidDel="00000000" w:rsidR="00000000" w:rsidRPr="00000000">
        <w:rPr>
          <w:rtl w:val="0"/>
        </w:rPr>
        <w:t xml:space="preserve">Ухвалене рішення про фінансування відібраних проєктів.</w:t>
      </w:r>
    </w:p>
    <w:p w:rsidR="00000000" w:rsidDel="00000000" w:rsidP="00000000" w:rsidRDefault="00000000" w:rsidRPr="00000000" w14:paraId="00000048">
      <w:pPr>
        <w:spacing w:after="0" w:line="240" w:lineRule="auto"/>
        <w:ind w:left="1440" w:firstLine="0"/>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numPr>
          <w:ilvl w:val="0"/>
          <w:numId w:val="6"/>
        </w:numPr>
        <w:spacing w:after="0" w:line="240" w:lineRule="auto"/>
        <w:ind w:left="850.3937007874017"/>
        <w:jc w:val="both"/>
      </w:pPr>
      <w:r w:rsidDel="00000000" w:rsidR="00000000" w:rsidRPr="00000000">
        <w:rPr>
          <w:rtl w:val="0"/>
        </w:rPr>
        <w:t xml:space="preserve">Оприлюднення інформації про переможців на офіційній сторінці БФ «Право на захист» у соцмережі Facebook (</w:t>
      </w:r>
      <w:hyperlink r:id="rId8">
        <w:r w:rsidDel="00000000" w:rsidR="00000000" w:rsidRPr="00000000">
          <w:rPr>
            <w:color w:val="0563c1"/>
            <w:u w:val="single"/>
            <w:rtl w:val="0"/>
          </w:rPr>
          <w:t xml:space="preserve">https://www.facebook.com/right2protection</w:t>
        </w:r>
      </w:hyperlink>
      <w:r w:rsidDel="00000000" w:rsidR="00000000" w:rsidRPr="00000000">
        <w:rPr>
          <w:rtl w:val="0"/>
        </w:rPr>
        <w:t xml:space="preserve">) відбудеться 21 вересня включно</w:t>
      </w:r>
    </w:p>
    <w:p w:rsidR="00000000" w:rsidDel="00000000" w:rsidP="00000000" w:rsidRDefault="00000000" w:rsidRPr="00000000" w14:paraId="0000004B">
      <w:pPr>
        <w:numPr>
          <w:ilvl w:val="0"/>
          <w:numId w:val="6"/>
        </w:numPr>
        <w:spacing w:after="0" w:line="240" w:lineRule="auto"/>
        <w:ind w:left="850.3937007874017"/>
        <w:jc w:val="both"/>
      </w:pPr>
      <w:r w:rsidDel="00000000" w:rsidR="00000000" w:rsidRPr="00000000">
        <w:rPr>
          <w:rtl w:val="0"/>
        </w:rPr>
        <w:t xml:space="preserve">Оголошення переможців конкурсу відбувається шляхом повідомлення учасників конкурсу про результати розгляду їхніх проєктних пропозицій листом про позитивний результат конкурсного відбору</w:t>
      </w:r>
    </w:p>
    <w:p w:rsidR="00000000" w:rsidDel="00000000" w:rsidP="00000000" w:rsidRDefault="00000000" w:rsidRPr="00000000" w14:paraId="0000004C">
      <w:pPr>
        <w:numPr>
          <w:ilvl w:val="0"/>
          <w:numId w:val="6"/>
        </w:numPr>
        <w:spacing w:after="0" w:line="240" w:lineRule="auto"/>
        <w:ind w:left="850.3937007874017"/>
        <w:jc w:val="both"/>
        <w:rPr>
          <w:u w:val="none"/>
        </w:rPr>
      </w:pPr>
      <w:r w:rsidDel="00000000" w:rsidR="00000000" w:rsidRPr="00000000">
        <w:rPr>
          <w:rtl w:val="0"/>
        </w:rPr>
        <w:t xml:space="preserve">З юридичною особою, чия заявка рекомендована для присудження гранту, укладається відповідний договір про надання гранту. Договір укладається за умов надання Грантоотримувачем доопрацьованого проєкту та бюджету проєкту (у разі якщо таке рекомендувалося). Договір включає істотні умови надання та використання гранту (розмір мінігранту, період використання, на які цілі має бути витрачені кошти міні - гранту та у який порядок, дата подання необхідних звітів) та інші необхідні положення відповідно до вимог чинного законодавства. Невід’ємною частиною договору є такі додатки: опис проєкту, бюджет проєкту та звітування. Договір про надання міні - гранту підписується зі сторони отримувача міні - гранту уповноваженою на те особою. </w:t>
      </w:r>
      <w:r w:rsidDel="00000000" w:rsidR="00000000" w:rsidRPr="00000000">
        <w:rPr>
          <w:highlight w:val="white"/>
          <w:rtl w:val="0"/>
        </w:rPr>
        <w:t xml:space="preserve">БФ «ПРАВО НА ЗАХИСТ» не бере на себе відповідальність за отримання погоджень та/або дозвільної документації, яка може знадобитися переможцю для реалізації проекту. Представники БФ «ПРАВО НА ЗАХИСТ» можуть надати переможцю консультаційні послуги та іншу допомогу в рамках своїх можливостей. Ступінь і можливість допомоги визначається БФ «ПРАВО НА ЗАХИСТ» в кожному конкретному випадку.</w:t>
      </w:r>
      <w:r w:rsidDel="00000000" w:rsidR="00000000" w:rsidRPr="00000000">
        <w:rPr>
          <w:rtl w:val="0"/>
        </w:rPr>
      </w:r>
    </w:p>
    <w:p w:rsidR="00000000" w:rsidDel="00000000" w:rsidP="00000000" w:rsidRDefault="00000000" w:rsidRPr="00000000" w14:paraId="0000004D">
      <w:pPr>
        <w:numPr>
          <w:ilvl w:val="0"/>
          <w:numId w:val="6"/>
        </w:numPr>
        <w:spacing w:after="0" w:line="240" w:lineRule="auto"/>
        <w:ind w:left="850.3937007874017"/>
        <w:jc w:val="both"/>
      </w:pPr>
      <w:r w:rsidDel="00000000" w:rsidR="00000000" w:rsidRPr="00000000">
        <w:rPr>
          <w:rtl w:val="0"/>
        </w:rPr>
        <w:t xml:space="preserve">Процедура виплати грошового забезпечення міні - гранту відбуватиметься з 21 по 30 вересня 2022 року включно. Кошти гранту перераховуються на поточний банківський рахунок юридичної особи-отримувача гранту одним траншем.</w:t>
      </w:r>
      <w:r w:rsidDel="00000000" w:rsidR="00000000" w:rsidRPr="00000000">
        <w:rPr>
          <w:rtl w:val="0"/>
        </w:rPr>
        <w:t xml:space="preserve"> </w:t>
      </w:r>
      <w:r w:rsidDel="00000000" w:rsidR="00000000" w:rsidRPr="00000000">
        <w:rPr>
          <w:sz w:val="21"/>
          <w:szCs w:val="21"/>
          <w:highlight w:val="white"/>
          <w:rtl w:val="0"/>
        </w:rPr>
        <w:t xml:space="preserve">Видатки, які понесені грантоотримувачами до отримання гранту або після закінчення строку реалізації проекту, а також ті, які перевищують затверджену суму підтримки, не відшкодовуються.</w:t>
      </w:r>
      <w:r w:rsidDel="00000000" w:rsidR="00000000" w:rsidRPr="00000000">
        <w:rPr>
          <w:rtl w:val="0"/>
        </w:rPr>
      </w:r>
    </w:p>
    <w:p w:rsidR="00000000" w:rsidDel="00000000" w:rsidP="00000000" w:rsidRDefault="00000000" w:rsidRPr="00000000" w14:paraId="0000004E">
      <w:pPr>
        <w:numPr>
          <w:ilvl w:val="0"/>
          <w:numId w:val="6"/>
        </w:numPr>
        <w:spacing w:after="0" w:line="240" w:lineRule="auto"/>
        <w:ind w:left="850.3937007874017"/>
        <w:jc w:val="both"/>
      </w:pPr>
      <w:r w:rsidDel="00000000" w:rsidR="00000000" w:rsidRPr="00000000">
        <w:rPr>
          <w:rtl w:val="0"/>
        </w:rPr>
        <w:t xml:space="preserve">Перед початком прописаних етапів проєкту  в закладі, де буде здійснюватися Забезпечення, щонайменше за 72 години до запланованого початку,  особа відповідальна за початок Забезпечення, повинна отримати від адміністрації установи лист–гарантування, щодо згоди вищезгаданої установи про початок Забезпечення та згоду на його проведення. Окремо необхідно звернути увагу на те, що особи, котрі будуть перебувати у закладах, де згідно плану, будуть здійснюватися ремонти, повинні  бути переміщені до тимчасових житлових приміщень, що відповідають усім санітарним нормам, до закінчення процесу Забезпечення. За необхідності Грантоотримувач може залучати волонтерів для допомоги людям похилого віку та жінкам з дітьми.</w:t>
      </w:r>
    </w:p>
    <w:p w:rsidR="00000000" w:rsidDel="00000000" w:rsidP="00000000" w:rsidRDefault="00000000" w:rsidRPr="00000000" w14:paraId="0000004F">
      <w:pPr>
        <w:numPr>
          <w:ilvl w:val="0"/>
          <w:numId w:val="6"/>
        </w:numPr>
        <w:spacing w:after="0" w:line="240" w:lineRule="auto"/>
        <w:ind w:left="850.3937007874017"/>
        <w:jc w:val="both"/>
        <w:rPr>
          <w:u w:val="none"/>
        </w:rPr>
      </w:pPr>
      <w:r w:rsidDel="00000000" w:rsidR="00000000" w:rsidRPr="00000000">
        <w:rPr>
          <w:rtl w:val="0"/>
        </w:rPr>
        <w:t xml:space="preserve">Реалізація проєкту Грантоотримувачем здійснюється по 23 жовтня 2022 року</w:t>
      </w:r>
    </w:p>
    <w:p w:rsidR="00000000" w:rsidDel="00000000" w:rsidP="00000000" w:rsidRDefault="00000000" w:rsidRPr="00000000" w14:paraId="00000050">
      <w:pPr>
        <w:numPr>
          <w:ilvl w:val="0"/>
          <w:numId w:val="6"/>
        </w:numPr>
        <w:spacing w:after="0" w:line="240" w:lineRule="auto"/>
        <w:ind w:left="850.3937007874017"/>
        <w:jc w:val="both"/>
        <w:rPr>
          <w:u w:val="none"/>
        </w:rPr>
      </w:pPr>
      <w:r w:rsidDel="00000000" w:rsidR="00000000" w:rsidRPr="00000000">
        <w:rPr>
          <w:rtl w:val="0"/>
        </w:rPr>
        <w:t xml:space="preserve">Уповноважені працівник Грантонадавача здійснює обов’язковий моніторинг реалізації проєктів. З цією метою буде здійснено не менше одного моніторингового візиту. За потреби Грантонадавач може попросити надати проміжні описові, фотозвіти та фінансові звіти (опис проміжних результатів, перебігу виконання проєкту) . </w:t>
      </w:r>
    </w:p>
    <w:p w:rsidR="00000000" w:rsidDel="00000000" w:rsidP="00000000" w:rsidRDefault="00000000" w:rsidRPr="00000000" w14:paraId="00000051">
      <w:pPr>
        <w:numPr>
          <w:ilvl w:val="0"/>
          <w:numId w:val="6"/>
        </w:numPr>
        <w:spacing w:after="0" w:line="240" w:lineRule="auto"/>
        <w:ind w:left="850.3937007874017" w:hanging="850.3937007874017"/>
        <w:jc w:val="both"/>
        <w:rPr>
          <w:u w:val="none"/>
        </w:rPr>
      </w:pPr>
      <w:r w:rsidDel="00000000" w:rsidR="00000000" w:rsidRPr="00000000">
        <w:rPr>
          <w:rtl w:val="0"/>
        </w:rPr>
        <w:t xml:space="preserve">Закінчення реалізації проєкту буде вважатися подання Грантоотримувачем  кінцевих описових, фінансових та фото звітів (опис досягнень та результат реалізації проєкту)  з 24 жовтня по 31 жовтня 2022 р. Протягом 10 (трьох) днів з дати подання Грантоотримувачем вище згаданих документів та відсутності до них зауважень, підписується відповідний документ про закриття проєкту.</w:t>
      </w:r>
    </w:p>
    <w:p w:rsidR="00000000" w:rsidDel="00000000" w:rsidP="00000000" w:rsidRDefault="00000000" w:rsidRPr="00000000" w14:paraId="00000052">
      <w:pPr>
        <w:spacing w:after="0" w:line="240" w:lineRule="auto"/>
        <w:ind w:left="850.3937007874017" w:firstLine="0"/>
        <w:jc w:val="both"/>
        <w:rPr/>
      </w:pPr>
      <w:r w:rsidDel="00000000" w:rsidR="00000000" w:rsidRPr="00000000">
        <w:rPr>
          <w:rtl w:val="0"/>
        </w:rPr>
      </w:r>
    </w:p>
    <w:p w:rsidR="00000000" w:rsidDel="00000000" w:rsidP="00000000" w:rsidRDefault="00000000" w:rsidRPr="00000000" w14:paraId="00000053">
      <w:pPr>
        <w:spacing w:after="0" w:line="240" w:lineRule="auto"/>
        <w:ind w:firstLine="720"/>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heading=h.fysr46nc97ka" w:id="2"/>
      <w:bookmarkEnd w:id="2"/>
      <w:r w:rsidDel="00000000" w:rsidR="00000000" w:rsidRPr="00000000">
        <w:rPr>
          <w:rtl w:val="0"/>
        </w:rPr>
      </w:r>
    </w:p>
    <w:sectPr>
      <w:headerReference r:id="rId9" w:type="default"/>
      <w:pgSz w:h="16838" w:w="11906" w:orient="portrait"/>
      <w:pgMar w:bottom="407.71653543307366" w:top="283.46456692913387" w:left="1275.5905511811022"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-170531</wp:posOffset>
          </wp:positionV>
          <wp:extent cx="1432074" cy="764858"/>
          <wp:effectExtent b="0" l="0" r="0" t="0"/>
          <wp:wrapSquare wrapText="bothSides" distB="0" distT="0" distL="114300" distR="114300"/>
          <wp:docPr descr="Y:\PR&amp;Advert\LOGO\RightToProtection\R2P Logo - English\Print\RightToProtection_Eng_CMYK.jpg" id="5" name="image1.jpg"/>
          <a:graphic>
            <a:graphicData uri="http://schemas.openxmlformats.org/drawingml/2006/picture">
              <pic:pic>
                <pic:nvPicPr>
                  <pic:cNvPr descr="Y:\PR&amp;Advert\LOGO\RightToProtection\R2P Logo - English\Print\RightToProtection_Eng_CMYK.jpg" id="0" name="image1.jpg"/>
                  <pic:cNvPicPr preferRelativeResize="0"/>
                </pic:nvPicPr>
                <pic:blipFill>
                  <a:blip r:embed="rId1"/>
                  <a:srcRect b="10336" l="9272" r="9948" t="10387"/>
                  <a:stretch>
                    <a:fillRect/>
                  </a:stretch>
                </pic:blipFill>
                <pic:spPr>
                  <a:xfrm>
                    <a:off x="0" y="0"/>
                    <a:ext cx="1432074" cy="76485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lvl w:ilvl="0">
      <w:start w:val="1"/>
      <w:numFmt w:val="bullet"/>
      <w:lvlText w:val="●"/>
      <w:lvlJc w:val="left"/>
      <w:pPr>
        <w:ind w:left="1488" w:hanging="360"/>
      </w:pPr>
      <w:rPr>
        <w:rFonts w:ascii="Noto Sans Symbols" w:cs="Noto Sans Symbols" w:eastAsia="Noto Sans Symbols" w:hAnsi="Noto Sans Symbols"/>
      </w:rPr>
    </w:lvl>
    <w:lvl w:ilvl="1">
      <w:start w:val="1"/>
      <w:numFmt w:val="bullet"/>
      <w:lvlText w:val="o"/>
      <w:lvlJc w:val="left"/>
      <w:pPr>
        <w:ind w:left="2208" w:hanging="360"/>
      </w:pPr>
      <w:rPr>
        <w:rFonts w:ascii="Courier New" w:cs="Courier New" w:eastAsia="Courier New" w:hAnsi="Courier New"/>
      </w:rPr>
    </w:lvl>
    <w:lvl w:ilvl="2">
      <w:start w:val="1"/>
      <w:numFmt w:val="bullet"/>
      <w:lvlText w:val="▪"/>
      <w:lvlJc w:val="left"/>
      <w:pPr>
        <w:ind w:left="2928" w:hanging="360"/>
      </w:pPr>
      <w:rPr>
        <w:rFonts w:ascii="Noto Sans Symbols" w:cs="Noto Sans Symbols" w:eastAsia="Noto Sans Symbols" w:hAnsi="Noto Sans Symbols"/>
      </w:rPr>
    </w:lvl>
    <w:lvl w:ilvl="3">
      <w:start w:val="1"/>
      <w:numFmt w:val="bullet"/>
      <w:lvlText w:val="●"/>
      <w:lvlJc w:val="left"/>
      <w:pPr>
        <w:ind w:left="3648" w:hanging="360"/>
      </w:pPr>
      <w:rPr>
        <w:rFonts w:ascii="Noto Sans Symbols" w:cs="Noto Sans Symbols" w:eastAsia="Noto Sans Symbols" w:hAnsi="Noto Sans Symbols"/>
      </w:rPr>
    </w:lvl>
    <w:lvl w:ilvl="4">
      <w:start w:val="1"/>
      <w:numFmt w:val="bullet"/>
      <w:lvlText w:val="o"/>
      <w:lvlJc w:val="left"/>
      <w:pPr>
        <w:ind w:left="4368" w:hanging="360"/>
      </w:pPr>
      <w:rPr>
        <w:rFonts w:ascii="Courier New" w:cs="Courier New" w:eastAsia="Courier New" w:hAnsi="Courier New"/>
      </w:rPr>
    </w:lvl>
    <w:lvl w:ilvl="5">
      <w:start w:val="1"/>
      <w:numFmt w:val="bullet"/>
      <w:lvlText w:val="▪"/>
      <w:lvlJc w:val="left"/>
      <w:pPr>
        <w:ind w:left="5088" w:hanging="360"/>
      </w:pPr>
      <w:rPr>
        <w:rFonts w:ascii="Noto Sans Symbols" w:cs="Noto Sans Symbols" w:eastAsia="Noto Sans Symbols" w:hAnsi="Noto Sans Symbols"/>
      </w:rPr>
    </w:lvl>
    <w:lvl w:ilvl="6">
      <w:start w:val="1"/>
      <w:numFmt w:val="bullet"/>
      <w:lvlText w:val="●"/>
      <w:lvlJc w:val="left"/>
      <w:pPr>
        <w:ind w:left="5808" w:hanging="360"/>
      </w:pPr>
      <w:rPr>
        <w:rFonts w:ascii="Noto Sans Symbols" w:cs="Noto Sans Symbols" w:eastAsia="Noto Sans Symbols" w:hAnsi="Noto Sans Symbols"/>
      </w:rPr>
    </w:lvl>
    <w:lvl w:ilvl="7">
      <w:start w:val="1"/>
      <w:numFmt w:val="bullet"/>
      <w:lvlText w:val="o"/>
      <w:lvlJc w:val="left"/>
      <w:pPr>
        <w:ind w:left="6528" w:hanging="360"/>
      </w:pPr>
      <w:rPr>
        <w:rFonts w:ascii="Courier New" w:cs="Courier New" w:eastAsia="Courier New" w:hAnsi="Courier New"/>
      </w:rPr>
    </w:lvl>
    <w:lvl w:ilvl="8">
      <w:start w:val="1"/>
      <w:numFmt w:val="bullet"/>
      <w:lvlText w:val="▪"/>
      <w:lvlJc w:val="left"/>
      <w:pPr>
        <w:ind w:left="724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850.3937007874017" w:hanging="850.3937007874017"/>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a4">
    <w:name w:val="Table Grid"/>
    <w:basedOn w:val="a1"/>
    <w:uiPriority w:val="39"/>
    <w:rsid w:val="00D25E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Normal (Web)"/>
    <w:basedOn w:val="a"/>
    <w:uiPriority w:val="99"/>
    <w:unhideWhenUsed w:val="1"/>
    <w:rsid w:val="00D25EF9"/>
    <w:pPr>
      <w:spacing w:after="100" w:afterAutospacing="1" w:before="100" w:beforeAutospacing="1" w:line="240" w:lineRule="auto"/>
    </w:pPr>
    <w:rPr>
      <w:rFonts w:ascii="Times New Roman" w:cs="Times New Roman" w:eastAsia="Times New Roman" w:hAnsi="Times New Roman"/>
      <w:sz w:val="24"/>
      <w:szCs w:val="24"/>
    </w:rPr>
  </w:style>
  <w:style w:type="paragraph" w:styleId="a6">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paragraph" w:styleId="a8">
    <w:name w:val="annotation text"/>
    <w:basedOn w:val="a"/>
    <w:link w:val="a9"/>
    <w:uiPriority w:val="99"/>
    <w:semiHidden w:val="1"/>
    <w:unhideWhenUsed w:val="1"/>
    <w:pPr>
      <w:spacing w:line="240" w:lineRule="auto"/>
    </w:pPr>
    <w:rPr>
      <w:sz w:val="20"/>
      <w:szCs w:val="20"/>
    </w:rPr>
  </w:style>
  <w:style w:type="character" w:styleId="a9" w:customStyle="1">
    <w:name w:val="Текст примітки Знак"/>
    <w:basedOn w:val="a0"/>
    <w:link w:val="a8"/>
    <w:uiPriority w:val="99"/>
    <w:semiHidden w:val="1"/>
    <w:rPr>
      <w:sz w:val="20"/>
      <w:szCs w:val="20"/>
    </w:rPr>
  </w:style>
  <w:style w:type="character" w:styleId="aa">
    <w:name w:val="annotation reference"/>
    <w:basedOn w:val="a0"/>
    <w:uiPriority w:val="99"/>
    <w:semiHidden w:val="1"/>
    <w:unhideWhenUsed w:val="1"/>
    <w:rPr>
      <w:sz w:val="16"/>
      <w:szCs w:val="16"/>
    </w:rPr>
  </w:style>
  <w:style w:type="paragraph" w:styleId="ab">
    <w:name w:val="Balloon Text"/>
    <w:basedOn w:val="a"/>
    <w:link w:val="ac"/>
    <w:uiPriority w:val="99"/>
    <w:semiHidden w:val="1"/>
    <w:unhideWhenUsed w:val="1"/>
    <w:rsid w:val="008E7D4A"/>
    <w:pPr>
      <w:spacing w:after="0" w:line="240" w:lineRule="auto"/>
    </w:pPr>
    <w:rPr>
      <w:rFonts w:ascii="Segoe UI" w:cs="Segoe UI" w:hAnsi="Segoe UI"/>
      <w:sz w:val="18"/>
      <w:szCs w:val="18"/>
    </w:rPr>
  </w:style>
  <w:style w:type="character" w:styleId="ac" w:customStyle="1">
    <w:name w:val="Текст у виносці Знак"/>
    <w:basedOn w:val="a0"/>
    <w:link w:val="ab"/>
    <w:uiPriority w:val="99"/>
    <w:semiHidden w:val="1"/>
    <w:rsid w:val="008E7D4A"/>
    <w:rPr>
      <w:rFonts w:ascii="Segoe UI" w:cs="Segoe UI" w:hAnsi="Segoe UI"/>
      <w:sz w:val="18"/>
      <w:szCs w:val="18"/>
    </w:rPr>
  </w:style>
  <w:style w:type="paragraph" w:styleId="ad">
    <w:name w:val="List Paragraph"/>
    <w:basedOn w:val="a"/>
    <w:uiPriority w:val="34"/>
    <w:qFormat w:val="1"/>
    <w:rsid w:val="00661524"/>
    <w:pPr>
      <w:ind w:left="720"/>
      <w:contextualSpacing w:val="1"/>
    </w:pPr>
    <w:rPr>
      <w:rFonts w:asciiTheme="minorHAnsi" w:cstheme="minorBidi" w:eastAsiaTheme="minorHAnsi" w:hAnsiTheme="minorHAnsi"/>
      <w:lang w:eastAsia="en-US"/>
    </w:rPr>
  </w:style>
  <w:style w:type="paragraph" w:styleId="ae">
    <w:name w:val="header"/>
    <w:basedOn w:val="a"/>
    <w:link w:val="af"/>
    <w:uiPriority w:val="99"/>
    <w:unhideWhenUsed w:val="1"/>
    <w:rsid w:val="008D3EB9"/>
    <w:pPr>
      <w:tabs>
        <w:tab w:val="center" w:pos="4677"/>
        <w:tab w:val="right" w:pos="9355"/>
      </w:tabs>
      <w:spacing w:after="0" w:line="240" w:lineRule="auto"/>
    </w:pPr>
  </w:style>
  <w:style w:type="character" w:styleId="af" w:customStyle="1">
    <w:name w:val="Верхній колонтитул Знак"/>
    <w:basedOn w:val="a0"/>
    <w:link w:val="ae"/>
    <w:uiPriority w:val="99"/>
    <w:rsid w:val="008D3EB9"/>
  </w:style>
  <w:style w:type="paragraph" w:styleId="af0">
    <w:name w:val="footer"/>
    <w:basedOn w:val="a"/>
    <w:link w:val="af1"/>
    <w:uiPriority w:val="99"/>
    <w:unhideWhenUsed w:val="1"/>
    <w:rsid w:val="008D3EB9"/>
    <w:pPr>
      <w:tabs>
        <w:tab w:val="center" w:pos="4677"/>
        <w:tab w:val="right" w:pos="9355"/>
      </w:tabs>
      <w:spacing w:after="0" w:line="240" w:lineRule="auto"/>
    </w:pPr>
  </w:style>
  <w:style w:type="character" w:styleId="af1" w:customStyle="1">
    <w:name w:val="Нижній колонтитул Знак"/>
    <w:basedOn w:val="a0"/>
    <w:link w:val="af0"/>
    <w:uiPriority w:val="99"/>
    <w:rsid w:val="008D3EB9"/>
  </w:style>
  <w:style w:type="character" w:styleId="af2">
    <w:name w:val="Hyperlink"/>
    <w:basedOn w:val="a0"/>
    <w:uiPriority w:val="99"/>
    <w:unhideWhenUsed w:val="1"/>
    <w:rsid w:val="00FB6792"/>
    <w:rPr>
      <w:color w:val="0563c1" w:themeColor="hyperlink"/>
      <w:u w:val="single"/>
    </w:rPr>
  </w:style>
  <w:style w:type="character" w:styleId="af3">
    <w:name w:val="Unresolved Mention"/>
    <w:basedOn w:val="a0"/>
    <w:uiPriority w:val="99"/>
    <w:semiHidden w:val="1"/>
    <w:unhideWhenUsed w:val="1"/>
    <w:rsid w:val="00FB679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makarova@r2p.org.ua" TargetMode="External"/><Relationship Id="rId8" Type="http://schemas.openxmlformats.org/officeDocument/2006/relationships/hyperlink" Target="https://www.facebook.com/right2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VZQ6p23FbVIYGFILYk0ABpKwQ==">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2022-06-01T16:56:00Z</dcterms:created>
  <dc:creator>user_1</dc:creator>
</cp:coreProperties>
</file>