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b w:val="1"/>
          <w:color w:val="2b333d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b333d"/>
          <w:sz w:val="20"/>
          <w:szCs w:val="20"/>
          <w:rtl w:val="0"/>
        </w:rPr>
        <w:t xml:space="preserve">БРИФ НА ООН</w:t>
      </w:r>
    </w:p>
    <w:tbl>
      <w:tblPr>
        <w:tblStyle w:val="Table1"/>
        <w:tblW w:w="9073.0" w:type="dxa"/>
        <w:jc w:val="left"/>
        <w:tblInd w:w="-6.0" w:type="dxa"/>
        <w:tblBorders>
          <w:top w:color="2b333d" w:space="0" w:sz="4" w:val="single"/>
          <w:left w:color="2b333d" w:space="0" w:sz="4" w:val="single"/>
          <w:bottom w:color="2b333d" w:space="0" w:sz="4" w:val="single"/>
          <w:right w:color="2b333d" w:space="0" w:sz="4" w:val="single"/>
          <w:insideH w:color="2b333d" w:space="0" w:sz="4" w:val="single"/>
          <w:insideV w:color="2b333d" w:space="0" w:sz="4" w:val="single"/>
        </w:tblBorders>
        <w:tblLayout w:type="fixed"/>
        <w:tblLook w:val="0000"/>
      </w:tblPr>
      <w:tblGrid>
        <w:gridCol w:w="2269"/>
        <w:gridCol w:w="6804"/>
        <w:tblGridChange w:id="0">
          <w:tblGrid>
            <w:gridCol w:w="2269"/>
            <w:gridCol w:w="68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Клієнт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БФ «Право на захист»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Кампанія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Соціальна реклама. Безкоштовна юридична допомога у двох форматах – за телефоном, або в офісі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Міста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1d5ea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Київ, Львів, Полтава, Вінниця 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u w:val="single"/>
                <w:rtl w:val="0"/>
              </w:rPr>
              <w:t xml:space="preserve">(можливо, будуть обрані 2 або 3 міста з перелічених)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ЦА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ВПО та постраждалі від війни особи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Формати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Потребуємо рекомендації по конкретним форматам з огляду на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 доступність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ефективність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 (максимізація охоплення, оптимізація бюджету розміщення та бюджету на продакшн)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актуальні нюанси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 (проблеми з електрикою, темні вечори тощо).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Можемо розглядати і діджитал формати, але ми не маємо відео матеріалів, можемо створити коротку просту анімацію, або є статичне зображення.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Якщо по одному з міст потрібен окремий підхід – ми відкриті до пропозицій, адже нам важливо, щоб реклама працювала!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Наприклад, якщо в Києві освітлення вулиць працювати не буде, діджитал площини теж, статичні борди підсвічувати не будуть, тому потрібно дивитись в сторону метро. Аргументація – збільшений потік людей в зимовий період, видимість нашого розміщення без прив’язки до часу, більш стабільне електропостачання і т.д.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Мета рекламної кампанії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Посилення видимості наших послуг для бенефіціарів.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Хочемо допомогти тим, хто цього потребує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Підвищення кількості запитів на юридичну допомогу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 – кількості дзвінків на телефонну лінію допомоги і кількості візитів в офіси на безоплатні юридичні консультації.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Потрібна динаміка!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І, звичайно, поширення знання про БФ «Право на захист»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i w:val="1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2b333d"/>
                <w:sz w:val="20"/>
                <w:szCs w:val="20"/>
                <w:rtl w:val="0"/>
              </w:rPr>
              <w:t xml:space="preserve">Окремі телефонні номери для відстеження динаміки не плануються. Так як крім ООН планується лише PR активність, то всю динаміку за зазначений період в порівнянні з попереднім періодом будемо пов’язувати саме з зовнішньою рекламою.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highlight w:val="white"/>
                <w:rtl w:val="0"/>
              </w:rPr>
              <w:t xml:space="preserve">Конкуренти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NRC, IRC, DRC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Координати представника замовника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Ярослава Швецова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y.shvetsova@r2p.org.ua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+380635812173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Період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Грудень</w:t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Які строки запуску?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Рекомендація з огляду на ціль – більше охоплення за менший бюджет.</w:t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Обов'язково зазначити прогнозоване охоплення в кожній з запропонованих опцій.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По кожному місту потрібна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u w:val="single"/>
                <w:rtl w:val="0"/>
              </w:rPr>
              <w:t xml:space="preserve">окрема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 пропозиція кількості, що дозволить зробити велике охоплення + навігацію.</w:t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Також важливо мати запропоновану Адресну Програму по кожному місту.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highlight w:val="white"/>
                <w:rtl w:val="0"/>
              </w:rPr>
              <w:t xml:space="preserve">Оплата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50/50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(50% предоплата, 50% постоплата)</w:t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Пропозиції з меншою передоплатою матимуть пріоритет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Звітність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Фото звіти усіх площин (до 10 січня)</w:t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b w:val="1"/>
          <w:color w:val="2b333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Ind w:w="-6.0" w:type="dxa"/>
        <w:tblBorders>
          <w:top w:color="2b333d" w:space="0" w:sz="4" w:val="single"/>
          <w:left w:color="2b333d" w:space="0" w:sz="4" w:val="single"/>
          <w:bottom w:color="2b333d" w:space="0" w:sz="4" w:val="single"/>
          <w:right w:color="2b333d" w:space="0" w:sz="4" w:val="single"/>
          <w:insideH w:color="2b333d" w:space="0" w:sz="4" w:val="single"/>
          <w:insideV w:color="2b333d" w:space="0" w:sz="4" w:val="single"/>
        </w:tblBorders>
        <w:tblLayout w:type="fixed"/>
        <w:tblLook w:val="0000"/>
      </w:tblPr>
      <w:tblGrid>
        <w:gridCol w:w="2269"/>
        <w:gridCol w:w="6806"/>
        <w:tblGridChange w:id="0">
          <w:tblGrid>
            <w:gridCol w:w="2269"/>
            <w:gridCol w:w="68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1d5eac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ОПИС БРЕНДУ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Організація / Бренд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БФ «Право на захист» в партнерстві з УВКБ ООН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Царина діяльності компанії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Юридична, психологічна, гуманітарна допомога ВПО та постраждалим від війни особам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Сайт бренду/компанії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20"/>
                  <w:szCs w:val="20"/>
                  <w:u w:val="single"/>
                  <w:rtl w:val="0"/>
                </w:rPr>
                <w:t xml:space="preserve">Сайт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20"/>
                  <w:szCs w:val="20"/>
                  <w:u w:val="single"/>
                  <w:rtl w:val="0"/>
                </w:rPr>
                <w:t xml:space="preserve">ФБ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sz w:val="20"/>
                  <w:szCs w:val="20"/>
                  <w:u w:val="single"/>
                  <w:rtl w:val="0"/>
                </w:rPr>
                <w:t xml:space="preserve">Інстаграм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Цільова аудиторія бренду/рекламної кампанії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ВПО, без обмеження по віку і статі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Коментарі до рекламної кампанії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Дана кампанія - пілот. У випадку ефективності даного медіа плануємо продовжити і зробити її більш масштабною.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Ефективність буде оцінюватись з точки зору динаміки кількості звернень до нас за юридичною допомогою.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Розміщувати плануємо 2 типи месседжів: Безкоштовні юридичні консультації (з вказаними адресами офісу) та Безкоштовна лінія допомоги (номери телефонів, які працюють по всій Україні)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strike w:val="1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b333d"/>
                <w:sz w:val="20"/>
                <w:szCs w:val="20"/>
                <w:rtl w:val="0"/>
              </w:rPr>
              <w:t xml:space="preserve">Рахуємо 4 вказані вище міста з розумінням, що можемо обрати з них 2 або 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Адреси офісів для навігації: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м. Полтава, вул. Володимира Козака, 14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м. Вінниця, вул. Магістратська, буд.156А, офіс 202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м. Львів, вул. Анатолія Вахнянина, 13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м. Київ, вулиця Григорія  Сковороди, 21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У розрахунок просимо додати необхідний друк та запас друку, монтаж та демонтаж.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b333d"/>
                <w:sz w:val="20"/>
                <w:szCs w:val="20"/>
                <w:rtl w:val="0"/>
              </w:rPr>
              <w:t xml:space="preserve">Створення макетів для розміщення беремо на себе.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b w:val="1"/>
          <w:color w:val="2b333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b w:val="1"/>
          <w:color w:val="2b333d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b333d"/>
          <w:sz w:val="20"/>
          <w:szCs w:val="20"/>
          <w:rtl w:val="0"/>
        </w:rPr>
        <w:t xml:space="preserve">Приклади віжуалів нижче: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2b333d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b333d"/>
          <w:sz w:val="20"/>
          <w:szCs w:val="20"/>
        </w:rPr>
        <w:drawing>
          <wp:inline distB="0" distT="0" distL="0" distR="0">
            <wp:extent cx="5836285" cy="2918460"/>
            <wp:effectExtent b="0" l="0" r="0" t="0"/>
            <wp:docPr id="3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2918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color w:val="2b333d"/>
          <w:sz w:val="20"/>
          <w:szCs w:val="20"/>
        </w:rPr>
        <w:drawing>
          <wp:inline distB="0" distT="0" distL="0" distR="0">
            <wp:extent cx="5836285" cy="2918460"/>
            <wp:effectExtent b="0" l="0" r="0" t="0"/>
            <wp:docPr id="3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2918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9" w:w="11907" w:orient="portrait"/>
      <w:pgMar w:bottom="1440" w:top="2517" w:left="1276" w:right="1440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-863599</wp:posOffset>
              </wp:positionH>
              <wp:positionV relativeFrom="paragraph">
                <wp:posOffset>-114299</wp:posOffset>
              </wp:positionV>
              <wp:extent cx="7552795" cy="809121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9600" y="3375425"/>
                        <a:ext cx="7552795" cy="809121"/>
                        <a:chOff x="1569600" y="3375425"/>
                        <a:chExt cx="7552800" cy="809150"/>
                      </a:xfrm>
                    </wpg:grpSpPr>
                    <wpg:grpSp>
                      <wpg:cNvGrpSpPr/>
                      <wpg:grpSpPr>
                        <a:xfrm>
                          <a:off x="1569603" y="3375440"/>
                          <a:ext cx="7552795" cy="809121"/>
                          <a:chOff x="1569600" y="3375425"/>
                          <a:chExt cx="7552800" cy="809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69600" y="3375425"/>
                            <a:ext cx="7552800" cy="80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9603" y="3375440"/>
                            <a:ext cx="7552795" cy="809121"/>
                            <a:chOff x="1569600" y="3375425"/>
                            <a:chExt cx="7552800" cy="8091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69600" y="3375425"/>
                              <a:ext cx="7552800" cy="80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9603" y="3375440"/>
                              <a:ext cx="7552795" cy="809121"/>
                              <a:chOff x="1569603" y="3375440"/>
                              <a:chExt cx="7552795" cy="80912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69603" y="3375440"/>
                                <a:ext cx="7552775" cy="80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9603" y="3375440"/>
                                <a:ext cx="7552795" cy="809121"/>
                                <a:chOff x="1569603" y="3375440"/>
                                <a:chExt cx="7552795" cy="80912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69603" y="3375440"/>
                                  <a:ext cx="7552775" cy="80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69603" y="3375440"/>
                                  <a:ext cx="7552795" cy="809121"/>
                                  <a:chOff x="1063905" y="1098681"/>
                                  <a:chExt cx="72072" cy="6176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063905" y="1098681"/>
                                    <a:ext cx="72050" cy="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63905" y="1098681"/>
                                    <a:ext cx="72072" cy="61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GrpSpPr/>
                                <wpg:grpSpPr>
                                  <a:xfrm>
                                    <a:off x="1088322" y="1100767"/>
                                    <a:ext cx="47562" cy="3433"/>
                                    <a:chOff x="1081839" y="1090696"/>
                                    <a:chExt cx="44901" cy="3433"/>
                                  </a:xfrm>
                                </wpg:grpSpPr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24890" r="0" t="63723"/>
                                    <a:stretch/>
                                  </pic:blipFill>
                                  <pic:spPr>
                                    <a:xfrm>
                                      <a:off x="1081839" y="1090696"/>
                                      <a:ext cx="44901" cy="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1081844" y="1091141"/>
                                      <a:ext cx="44883" cy="2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22.00000286102295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вул. Щекавицька 55  </w:t>
                                        </w:r>
                                        <w:r w:rsidDel="00000000" w:rsidR="00000000" w:rsidRPr="00000000">
                                          <w:rPr>
                                            <w:rFonts w:ascii="Tahoma" w:cs="Tahoma" w:eastAsia="Tahoma" w:hAnsi="Tahoma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•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  Київ 04071, Україна  </w:t>
                                        </w:r>
                                        <w:r w:rsidDel="00000000" w:rsidR="00000000" w:rsidRPr="00000000">
                                          <w:rPr>
                                            <w:rFonts w:ascii="Tahoma" w:cs="Tahoma" w:eastAsia="Tahoma" w:hAnsi="Tahoma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•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  Т/Ф +38 044 337 17 62  </w:t>
                                        </w:r>
                                        <w:r w:rsidDel="00000000" w:rsidR="00000000" w:rsidRPr="00000000">
                                          <w:rPr>
                                            <w:rFonts w:ascii="Tahoma" w:cs="Tahoma" w:eastAsia="Tahoma" w:hAnsi="Tahoma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•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  r2p@r2p.org.ua</w:t>
                                        </w:r>
                                      </w:p>
                                    </w:txbxContent>
                                  </wps:txbx>
                                  <wps:bodyPr anchorCtr="0" anchor="t" bIns="36575" lIns="36575" spcFirstLastPara="1" rIns="36575" wrap="square" tIns="3657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-863599</wp:posOffset>
              </wp:positionH>
              <wp:positionV relativeFrom="paragraph">
                <wp:posOffset>-114299</wp:posOffset>
              </wp:positionV>
              <wp:extent cx="7552795" cy="809121"/>
              <wp:effectExtent b="0" l="0" r="0" t="0"/>
              <wp:wrapNone/>
              <wp:docPr id="3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2795" cy="8091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ind w:hanging="1134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2871153" cy="1680929"/>
          <wp:effectExtent b="0" l="0" r="0" 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1153" cy="16809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9D121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9D121C"/>
  </w:style>
  <w:style w:type="paragraph" w:styleId="a6">
    <w:name w:val="footer"/>
    <w:basedOn w:val="a"/>
    <w:link w:val="a7"/>
    <w:uiPriority w:val="99"/>
    <w:unhideWhenUsed w:val="1"/>
    <w:rsid w:val="009D121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9D121C"/>
  </w:style>
  <w:style w:type="paragraph" w:styleId="a8">
    <w:name w:val="Balloon Text"/>
    <w:basedOn w:val="a"/>
    <w:link w:val="a9"/>
    <w:uiPriority w:val="99"/>
    <w:semiHidden w:val="1"/>
    <w:unhideWhenUsed w:val="1"/>
    <w:rsid w:val="009D12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link w:val="a8"/>
    <w:uiPriority w:val="99"/>
    <w:semiHidden w:val="1"/>
    <w:rsid w:val="009D121C"/>
    <w:rPr>
      <w:rFonts w:ascii="Tahoma" w:cs="Tahoma" w:hAnsi="Tahoma"/>
      <w:sz w:val="16"/>
      <w:szCs w:val="16"/>
    </w:rPr>
  </w:style>
  <w:style w:type="paragraph" w:styleId="aa">
    <w:name w:val="No Spacing"/>
    <w:uiPriority w:val="1"/>
    <w:qFormat w:val="1"/>
    <w:rsid w:val="0013448A"/>
    <w:rPr>
      <w:lang w:eastAsia="en-US"/>
    </w:rPr>
  </w:style>
  <w:style w:type="character" w:styleId="ab">
    <w:name w:val="Hyperlink"/>
    <w:unhideWhenUsed w:val="1"/>
    <w:rsid w:val="007A2272"/>
    <w:rPr>
      <w:color w:val="0000ff"/>
      <w:u w:val="single"/>
    </w:rPr>
  </w:style>
  <w:style w:type="paragraph" w:styleId="ac">
    <w:name w:val="Body Text"/>
    <w:basedOn w:val="a"/>
    <w:link w:val="ad"/>
    <w:rsid w:val="005C466D"/>
    <w:pPr>
      <w:spacing w:after="0" w:line="360" w:lineRule="auto"/>
      <w:jc w:val="both"/>
    </w:pPr>
    <w:rPr>
      <w:rFonts w:ascii="Arial" w:cs="Arial" w:eastAsia="Times New Roman" w:hAnsi="Arial"/>
      <w:sz w:val="24"/>
      <w:szCs w:val="20"/>
      <w:lang w:eastAsia="ru-RU" w:val="uk-UA"/>
    </w:rPr>
  </w:style>
  <w:style w:type="character" w:styleId="ad" w:customStyle="1">
    <w:name w:val="Основной текст Знак"/>
    <w:basedOn w:val="a0"/>
    <w:link w:val="ac"/>
    <w:rsid w:val="005C466D"/>
    <w:rPr>
      <w:rFonts w:ascii="Arial" w:cs="Arial" w:eastAsia="Times New Roman" w:hAnsi="Arial"/>
      <w:sz w:val="24"/>
      <w:lang w:val="uk-UA"/>
    </w:rPr>
  </w:style>
  <w:style w:type="paragraph" w:styleId="ae">
    <w:name w:val="List Paragraph"/>
    <w:basedOn w:val="a"/>
    <w:uiPriority w:val="34"/>
    <w:qFormat w:val="1"/>
    <w:rsid w:val="00FF08BC"/>
    <w:pPr>
      <w:spacing w:after="160" w:line="256" w:lineRule="auto"/>
      <w:ind w:left="720"/>
      <w:contextualSpacing w:val="1"/>
    </w:pPr>
    <w:rPr>
      <w:rFonts w:asciiTheme="minorHAnsi" w:cstheme="minorBidi" w:eastAsiaTheme="minorHAnsi" w:hAnsiTheme="minorHAnsi"/>
      <w:lang w:val="ru-RU"/>
    </w:rPr>
  </w:style>
  <w:style w:type="paragraph" w:styleId="HTML">
    <w:name w:val="HTML Preformatted"/>
    <w:basedOn w:val="a"/>
    <w:link w:val="HTML0"/>
    <w:uiPriority w:val="99"/>
    <w:semiHidden w:val="1"/>
    <w:unhideWhenUsed w:val="1"/>
    <w:rsid w:val="0026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semiHidden w:val="1"/>
    <w:rsid w:val="002606E0"/>
    <w:rPr>
      <w:rFonts w:ascii="Courier New" w:cs="Courier New" w:eastAsia="Times New Roman" w:hAnsi="Courier New"/>
      <w:lang w:eastAsia="en-US" w:val="en-US"/>
    </w:rPr>
  </w:style>
  <w:style w:type="character" w:styleId="y2iqfc" w:customStyle="1">
    <w:name w:val="y2iqfc"/>
    <w:basedOn w:val="a0"/>
    <w:rsid w:val="002606E0"/>
  </w:style>
  <w:style w:type="paragraph" w:styleId="af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f0">
    <w:name w:val="Unresolved Mention"/>
    <w:basedOn w:val="a0"/>
    <w:uiPriority w:val="99"/>
    <w:semiHidden w:val="1"/>
    <w:unhideWhenUsed w:val="1"/>
    <w:rsid w:val="003F6D46"/>
    <w:rPr>
      <w:color w:val="605e5c"/>
      <w:shd w:color="auto" w:fill="e1dfdd" w:val="clear"/>
    </w:rPr>
  </w:style>
  <w:style w:type="table" w:styleId="af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4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right2protec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2p.org.ua/" TargetMode="External"/><Relationship Id="rId8" Type="http://schemas.openxmlformats.org/officeDocument/2006/relationships/hyperlink" Target="https://www.facebook.com/right2protec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LQHAuZmaxHx+oeic61/N3Nc7qQ==">AMUW2mUlnXqrMq/1Y1L21GmovkfUkiljtd1UWrfgXuRMJx0rVFQ/ptoY5l2AOFWiMkn/AftYs+Zid814Gv0ZkGy8vNvDro8ur05vNfXEBAEh8dmOFVm7yLo=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2022-11-01T09:27:00Z</dcterms:created>
  <dc:creator>Davyd</dc:creator>
</cp:coreProperties>
</file>