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05 березня 2025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Rule="auto"/>
        <w:ind w:firstLine="72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Технічне завдання фасилітатора для проведення інтеграційних заходів з налагодження соціальної згуртованості в громадах в Бучанському районі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Благодійна організація «БЛАГОДІЙНИЙ ФОНД «ПРАВО НА ЗАХИСТ» (далі – Фо</w:t>
      </w:r>
      <w:r w:rsidDel="00000000" w:rsidR="00000000" w:rsidRPr="00000000">
        <w:rPr>
          <w:sz w:val="22"/>
          <w:szCs w:val="22"/>
          <w:rtl w:val="0"/>
        </w:rPr>
        <w:t xml:space="preserve">нд) організовує інтегра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ційні заходи у форматі фасилітованих кінопоказів для дорослого населення вразливих категорій Бучанської, Ірпінської та Макарівської територіальних громад з метою налагодження соціальної згуртованості в громадах. </w:t>
      </w:r>
      <w:r w:rsidDel="00000000" w:rsidR="00000000" w:rsidRPr="00000000">
        <w:rPr>
          <w:sz w:val="22"/>
          <w:szCs w:val="22"/>
          <w:rtl w:val="0"/>
        </w:rPr>
        <w:br w:type="textWrapping"/>
        <w:t xml:space="preserve">Завдання активностей – створити ініціативні групи інтеграційного характеру в громадах для спільного перегляду та обговорення кінофільмів та важливих соціальних питань у громаді.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Період проведення інтеграційних заходів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квітень-липень  2025 р.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Обсяг наданих послуг: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інтеграційних заходів тривалістю 3 год кожен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Місце проведення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м. Буча (4 заходи), м.Ірпінь (4 заходи), м. Макарів (4 заходи)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Формат</w:t>
      </w:r>
      <w:r w:rsidDel="00000000" w:rsidR="00000000" w:rsidRPr="00000000">
        <w:rPr>
          <w:i w:val="1"/>
          <w:sz w:val="22"/>
          <w:szCs w:val="22"/>
          <w:rtl w:val="0"/>
        </w:rPr>
        <w:t xml:space="preserve">: офлайн</w:t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Кількість учасників </w:t>
      </w:r>
      <w:r w:rsidDel="00000000" w:rsidR="00000000" w:rsidRPr="00000000">
        <w:rPr>
          <w:b w:val="1"/>
          <w:sz w:val="22"/>
          <w:szCs w:val="22"/>
          <w:rtl w:val="0"/>
        </w:rPr>
        <w:t xml:space="preserve">кожного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інтеграційного заходу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мін. 15 з вразливих категорій населення</w:t>
      </w:r>
      <w:r w:rsidDel="00000000" w:rsidR="00000000" w:rsidRPr="00000000">
        <w:rPr>
          <w:i w:val="1"/>
          <w:sz w:val="22"/>
          <w:szCs w:val="22"/>
          <w:rtl w:val="0"/>
        </w:rPr>
        <w:t xml:space="preserve"> громади</w:t>
        <w:br w:type="textWrapping"/>
        <w:t xml:space="preserve">Учасник тендеру має запропонувати можливий контент для перегляду та письмово гарантувати дотримання авторського права під час його публічної демонстрації.</w:t>
        <w:br w:type="textWrapping"/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Програма кожного заходу включає представлення фасилітатора та Фонду, інформацію про проєкт, перегляд кінофільму, обговорення кінофільму за попередньо погодженим сценарієм.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720" w:hanging="36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Технічне завдання в рамках надання послуг:</w:t>
      </w:r>
    </w:p>
    <w:tbl>
      <w:tblPr>
        <w:tblStyle w:val="Table1"/>
        <w:tblW w:w="10080.0" w:type="dxa"/>
        <w:jc w:val="left"/>
        <w:tblInd w:w="-108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5640"/>
        <w:gridCol w:w="1590"/>
        <w:tblGridChange w:id="0">
          <w:tblGrid>
            <w:gridCol w:w="2850"/>
            <w:gridCol w:w="5640"/>
            <w:gridCol w:w="1590"/>
          </w:tblGrid>
        </w:tblGridChange>
      </w:tblGrid>
      <w:tr>
        <w:trPr>
          <w:cantSplit w:val="0"/>
          <w:trHeight w:val="748.9355468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Завдання та обов’язки виконавця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after="20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Результат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20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Період надання послуг</w:t>
            </w:r>
          </w:p>
        </w:tc>
      </w:tr>
      <w:tr>
        <w:trPr>
          <w:cantSplit w:val="0"/>
          <w:trHeight w:val="2181.835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Вивчення потреб у вказаних громадах щодо тематики кінопоказів, визначення контенту для кінопереглядів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3 звіти за результатами визначення потреб у Бучанській, Ірпінській та Макарівській територіальних громадах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Підготовлений контент для кінопереглядів для трьох громад, який погоджений з представниками Програми соціальної згуртованості та порозуміння Фонду.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квітень 2025</w:t>
            </w:r>
          </w:p>
        </w:tc>
      </w:tr>
      <w:tr>
        <w:trPr>
          <w:cantSplit w:val="0"/>
          <w:trHeight w:val="19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Розробка програми проведення інтеграційних заходів, сценаріїв обговорення та узгодження дат кіно-показів спільно з командою Фонду.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Розроблені та погоджені з Фондом програми, сценарії та дати 12 кінопереглядів.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квітень 2025</w:t>
            </w:r>
          </w:p>
        </w:tc>
      </w:tr>
      <w:tr>
        <w:trPr>
          <w:cantSplit w:val="0"/>
          <w:trHeight w:val="10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Проведення 4 одноденних інтеграційних заходів (3 год.) для кожної з 3 визначених громад з  обов’язковим акцентом на соціальній згуртованості громади.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Проведено 12 інтеграційних заходів – кінопоказів в 3 громадах, за участю 15 учасників та учасниць в кожному щонайменше.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Складено 12 звітів з описом проведених заходів, досягнених результатів, аналітикою щодо відвідуваності учасників та зворотнього зв’язку від учасників за результатами анкетування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квітень – липень 2025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Підготовка фінального звіту за результатами проведених заходів, аналіз викликів, які виникли в рамках проведених інтеграційних заходів.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after="200" w:lineRule="auto"/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Підготовано 3 фінальні звіти щодо кожної громади за результатами проведених інтеграційних заходів та підсумкового анкетування, з аналізом викликів, які виникли в рамках проведених інтеграційних заходів, рівня задоволеності учасників, а також рекомендаціями для Фонду в цілому.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200" w:lineRule="auto"/>
              <w:jc w:val="both"/>
              <w:rPr>
                <w:i w:val="1"/>
                <w:color w:val="38761d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липень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20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Вимоги до виконавця: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Підтверджений досвід роботи з проведення інтеграційних заходів, зокрема фасилітованих кінопоказів, у громадах, не менше </w:t>
      </w:r>
      <w:r w:rsidDel="00000000" w:rsidR="00000000" w:rsidRPr="00000000">
        <w:rPr>
          <w:sz w:val="22"/>
          <w:szCs w:val="22"/>
          <w:rtl w:val="0"/>
        </w:rPr>
        <w:t xml:space="preserve">3-х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років;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  Досвід розробки методичних документів (програм інтеграційних заходів, сценаріїв фасилітації тощо) та підготовки проєктної звітності;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Відмінні комунікативні навички та ділова репутація, відповідальність, організованість, тактовність, етичність;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Розуміння специфіки роботи з вразливими категоріями та специфіки роботи з соціальною згуртованістю у громаді.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Звітність </w:t>
      </w:r>
    </w:p>
    <w:p w:rsidR="00000000" w:rsidDel="00000000" w:rsidP="00000000" w:rsidRDefault="00000000" w:rsidRPr="00000000" w14:paraId="00000025">
      <w:pPr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За результатами проведення кожного інтеграційного заходу Виконавець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подає звіт, що містить: 1) інформацію про хід виконання програми, зокрема опис проведеного заходу, досягнення результатів, аналіз зворотного зв'язку від учасників, 2) програму та сценарій обговорення по кожному заходу, 3) заповнені учасниками анкети зворотнього зв’язку; 4) акти виконаних робіт, 5) фотозвіти та 6) реєстраційні списки учасників. </w:t>
      </w:r>
    </w:p>
    <w:p w:rsidR="00000000" w:rsidDel="00000000" w:rsidP="00000000" w:rsidRDefault="00000000" w:rsidRPr="00000000" w14:paraId="00000026">
      <w:pPr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Всі матеріали розроблені в рамках реалізації проекту зберігаються на корпоративному диску Фонду. Звіти та всі супровідні матеріали, виготовлені Виконавцем в рамках проєкту, передаються Фонду без обтяження щодо авторських прав (окрім кінофільмів).</w:t>
      </w:r>
    </w:p>
    <w:p w:rsidR="00000000" w:rsidDel="00000000" w:rsidP="00000000" w:rsidRDefault="00000000" w:rsidRPr="00000000" w14:paraId="00000027">
      <w:pPr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Звіт подається представнику Фонду у 3-х денний термін після закінчення інтеграційного заходу. </w:t>
      </w:r>
    </w:p>
    <w:p w:rsidR="00000000" w:rsidDel="00000000" w:rsidP="00000000" w:rsidRDefault="00000000" w:rsidRPr="00000000" w14:paraId="00000028">
      <w:pPr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Підсумковий звіт за результатами проведення інтеграційних заходів у кожній з 3-х громад має включати: опис виконаних завдань та проведених активностей; аналіз того, чи досягнута мета інтеграційних заходів; аналіз зворотного зв'язку; аналіз результатів та впливу заходів на згуртованість громади; уроки, отримані під час проведення інтеграційних заходів; рекомендації щодо подальшого розвитку подібних ініціатив для Фонду в цілому; порівняльний аналіз початкових очікувань та кінцевих результатів по кожній з громад окремо. </w:t>
      </w:r>
    </w:p>
    <w:p w:rsidR="00000000" w:rsidDel="00000000" w:rsidP="00000000" w:rsidRDefault="00000000" w:rsidRPr="00000000" w14:paraId="00000029">
      <w:pPr>
        <w:spacing w:after="200" w:lineRule="auto"/>
        <w:ind w:right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Підсумковий звіт подаєтсяь на погодження Фонду у тижневий термін після закінчення останнього інтеграційного заходу. </w:t>
        <w:br w:type="textWrapping"/>
      </w:r>
    </w:p>
    <w:p w:rsidR="00000000" w:rsidDel="00000000" w:rsidP="00000000" w:rsidRDefault="00000000" w:rsidRPr="00000000" w14:paraId="0000002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Умови співпраці</w:t>
      </w:r>
    </w:p>
    <w:p w:rsidR="00000000" w:rsidDel="00000000" w:rsidP="00000000" w:rsidRDefault="00000000" w:rsidRPr="00000000" w14:paraId="0000002B">
      <w:pPr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Учасником тендеру є ФОП чи юридична особа,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Всі розрахунки здійснюються виключно у національній валюті України (гривні) шляхом банківського переказу на поточний рахунок фізичної особи підприємця чи юридичної особи  - постачальника послуг</w:t>
      </w:r>
      <w:r w:rsidDel="00000000" w:rsidR="00000000" w:rsidRPr="00000000">
        <w:rPr>
          <w:sz w:val="22"/>
          <w:szCs w:val="22"/>
          <w:rtl w:val="0"/>
        </w:rPr>
        <w:t xml:space="preserve"> протягом 7 робочих днів з дати підписання Акту виконаних робіт.  Акт виконаних робіт має бути поданий кожного місяця, протягом 7 днів після проведення кожного навчального модулю.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2E">
      <w:pPr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tender@r2p.org.ua.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Витрати на переміщення/ проживання та  д</w:t>
      </w:r>
      <w:r w:rsidDel="00000000" w:rsidR="00000000" w:rsidRPr="00000000">
        <w:rPr>
          <w:sz w:val="22"/>
          <w:szCs w:val="22"/>
          <w:rtl w:val="0"/>
        </w:rPr>
        <w:t xml:space="preserve">обові виконавцю - не оплачуються.  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Учасник </w:t>
      </w:r>
      <w:r w:rsidDel="00000000" w:rsidR="00000000" w:rsidRPr="00000000">
        <w:rPr>
          <w:sz w:val="22"/>
          <w:szCs w:val="22"/>
          <w:rtl w:val="0"/>
        </w:rPr>
        <w:t xml:space="preserve">не має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бути в санкційних списках України, ЄС, США, Канади, Японії, Великобританії.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Учасник не має перебувати в процесі припинення діяльності ФОП (якщо </w:t>
      </w:r>
      <w:r w:rsidDel="00000000" w:rsidR="00000000" w:rsidRPr="00000000">
        <w:rPr>
          <w:sz w:val="22"/>
          <w:szCs w:val="22"/>
          <w:rtl w:val="0"/>
        </w:rPr>
        <w:t xml:space="preserve">зареєстрований на момент подачі пропозиції)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Учасник може не бути зареєстрованим ФОП на момент подання заявки, але гарантує зареєструватися протягом 3 днів з дати оголошення переможцем тендеру. </w:t>
        <w:br w:type="textWrapping"/>
        <w:t xml:space="preserve">щонайменьше за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Вимоги до подання пропозицій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Пропозиція повинна бути складена </w:t>
      </w:r>
      <w:r w:rsidDel="00000000" w:rsidR="00000000" w:rsidRPr="00000000">
        <w:rPr>
          <w:b w:val="1"/>
          <w:sz w:val="22"/>
          <w:szCs w:val="22"/>
          <w:highlight w:val="white"/>
          <w:u w:val="single"/>
          <w:rtl w:val="0"/>
        </w:rPr>
        <w:t xml:space="preserve">українською мовою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та включати: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after="20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Контактну інформацію Виконавця та/або Постачальника послуг.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after="20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CV Виконавців (фасилітаторів) з детальним описом релевантного досвіду щонайменше за останні 3 роки, який включає досвід розробки методичних документів та підготовки проєктної звітності.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after="20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Зразки розроблених методичних матеріалів для інтеграційного заходу у формі фасилітованого кіноперегляду (звітів, рекомендацій, програм інтеграційних заходів, сценаріїв обговорення кінофільмів, посібників тощо). Подавати в форматі pdf, word, excel, Powerpoint чи інших форматах, які доступні для загального перегляду.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spacing w:after="20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Рекомендаційні листи з підтверджуючими контактами від громадських організацій, місцевих органів влади, які стосуються релевантного досвіду проведення фасилітації/модерації кінопоказів.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Реєстраційні документи ФОП/організації (виписка з ЄДР, витяг з реєстру платників податків).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spacing w:after="200" w:lineRule="auto"/>
        <w:ind w:left="709" w:hanging="283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Потенційний перелік кінострічок та їх тематика, які можуть бути запропоновані для публічного кіноперегляду із збереженням авторського права.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20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Можливий контент для перегляду та письмова гарантія дотримання авторського права під час його публічної демонстрації</w:t>
      </w:r>
      <w:r w:rsidDel="00000000" w:rsidR="00000000" w:rsidRPr="00000000">
        <w:rPr>
          <w:i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spacing w:after="200" w:lineRule="auto"/>
        <w:ind w:left="567" w:hanging="141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Цінову пропозицію, яка включає:</w:t>
        <w:br w:type="textWrapping"/>
        <w:t xml:space="preserve">- вартість одного інтеграційного заходу з урахуванням попереднього визначення потреб і фільнально звіту за його результатами,</w:t>
        <w:br w:type="textWrapping"/>
        <w:t xml:space="preserve">- загальну вартість пропозиції</w:t>
      </w:r>
      <w:r w:rsidDel="00000000" w:rsidR="00000000" w:rsidRPr="00000000">
        <w:rPr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927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Цінова пропозиція формується Виконавцем з урахуванням всіх витрат і податків.</w:t>
      </w:r>
    </w:p>
    <w:p w:rsidR="00000000" w:rsidDel="00000000" w:rsidP="00000000" w:rsidRDefault="00000000" w:rsidRPr="00000000" w14:paraId="0000003E">
      <w:pPr>
        <w:keepNext w:val="1"/>
        <w:keepLines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86" w:lineRule="auto"/>
        <w:ind w:left="0" w:firstLine="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Підведення підсумків конкурсу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112" w:firstLine="568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Оцінювання тендерних пропозицій буде складатися на 70% з оцінки технічної складової пропозицій та на 30% з оцінки цінових пропозицій.</w:t>
      </w: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2790"/>
        <w:gridCol w:w="5175"/>
        <w:gridCol w:w="1320"/>
        <w:tblGridChange w:id="0">
          <w:tblGrid>
            <w:gridCol w:w="570"/>
            <w:gridCol w:w="2790"/>
            <w:gridCol w:w="5175"/>
            <w:gridCol w:w="132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4"/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0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ШКАЛА ОЦІНКИ ТЕХНІЧНОЇ СКЛАДОВОЇ ПРОПОЗИЦІЇ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Відповідність технічним вимогам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6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МЕТОДОЛОГІЯ ОЦІНКИ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Максимальна кількість балів за вимогою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20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Зразок розробленої  програми інтеграційного заходу, з детальним сценарієм фасилітації. 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балів - надані матеріали містять ґрунтовну програму інтеграційного заходу, спрямований на соціальну згуртованість та деталізований сценарій.</w:t>
            </w:r>
          </w:p>
          <w:p w:rsidR="00000000" w:rsidDel="00000000" w:rsidP="00000000" w:rsidRDefault="00000000" w:rsidRPr="00000000" w14:paraId="0000004B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балів - надані матеріали містять  методології викладу інтеграційного заходу без  деталізованого опису. </w:t>
            </w:r>
          </w:p>
          <w:p w:rsidR="00000000" w:rsidDel="00000000" w:rsidP="00000000" w:rsidRDefault="00000000" w:rsidRPr="00000000" w14:paraId="0000004C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балів - надані матеріали дотичні до теми, але не містять деталізації та опису методології. </w:t>
            </w:r>
          </w:p>
          <w:p w:rsidR="00000000" w:rsidDel="00000000" w:rsidP="00000000" w:rsidRDefault="00000000" w:rsidRPr="00000000" w14:paraId="0000004D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 балів - жодних матеріалів не подано.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20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Рекомендаційні листи від НГО міжнародних або національного рівня, органів місцевої влади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бали за кожен рекомендаційний лист, максимум 15 балів  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 балів – учасник не надав жодного листа від НУО міжнародних або національного рівня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Кваліфікація та досвід Виконавця на підставі поданого CV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 балів: Демонстрація вичерпної інформації у ключових сферах та завданнях проєкту, зазначений детальний опис повноважень, навичок, досягнень, розроблених методичних матеріалів та напрацювань за час набуття досвіду. Резюме актуалізоване та містить інформацію діяльності фахівця щонайменше за останні 5 років.</w:t>
              <w:br w:type="textWrapping"/>
              <w:br w:type="textWrapping"/>
              <w:t xml:space="preserve">10 балів: Демонстрація узагальненої інформації у ключових сферах та завданнях проєкту. Зазначено досвід роботи, ключові сфери виконання без додаткової деталізації про навички, досягнення або напрацювання. Резюме актуалізоване та містить інформацію діяльності фахівця щонайменше за останні 5 років.</w:t>
              <w:br w:type="textWrapping"/>
              <w:br w:type="textWrapping"/>
              <w:t xml:space="preserve">5 бали: Надано резюме з відсутністю актуального досвіду за останні 3 роки у сферах та завданнях проєкту, але відображено існуючий у виконавця попередній досвід  виконання подібних завдань. </w:t>
              <w:br w:type="textWrapping"/>
              <w:br w:type="textWrapping"/>
              <w:t xml:space="preserve">0 балів: Не надано резюме або досвід не є релевантним до сфери та завдань проєкту.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Rule="auto"/>
              <w:jc w:val="both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200" w:lineRule="auto"/>
              <w:jc w:val="both"/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Якість запропонованого переліку кінострічок та їх тематики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балів - перелік кінострічок та їх тематика, показ і обговорення спрямовані на досягнення мети проєкту - соціальну згуртованість громади, а дотримання авторського права гарантує фасилітатор.</w:t>
            </w:r>
          </w:p>
          <w:p w:rsidR="00000000" w:rsidDel="00000000" w:rsidP="00000000" w:rsidRDefault="00000000" w:rsidRPr="00000000" w14:paraId="0000005D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балів – запропонований  перелік не повністю відповідає тематиці. </w:t>
            </w:r>
          </w:p>
          <w:p w:rsidR="00000000" w:rsidDel="00000000" w:rsidP="00000000" w:rsidRDefault="00000000" w:rsidRPr="00000000" w14:paraId="0000005E">
            <w:pPr>
              <w:spacing w:after="20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 балів - жодних матеріалів не подано.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20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0">
      <w:pPr>
        <w:spacing w:after="200" w:lineRule="auto"/>
        <w:ind w:firstLine="36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850.3937007874016" w:left="1134" w:right="85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ind w:left="-709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</w:t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A02B3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GB" w:val="en-U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 w:line="259" w:lineRule="auto"/>
      <w:outlineLvl w:val="0"/>
    </w:pPr>
    <w:rPr>
      <w:rFonts w:ascii="Calibri" w:cs="Calibri" w:eastAsia="Calibri" w:hAnsi="Calibri"/>
      <w:b w:val="1"/>
      <w:sz w:val="48"/>
      <w:szCs w:val="48"/>
      <w:lang w:eastAsia="ru-RU" w:val="uk-UA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  <w:lang w:eastAsia="ru-RU" w:val="uk-UA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  <w:lang w:eastAsia="ru-RU" w:val="uk-UA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  <w:lang w:eastAsia="ru-RU" w:val="uk-UA"/>
    </w:rPr>
  </w:style>
  <w:style w:type="table" w:styleId="a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pPr>
      <w:spacing w:after="160"/>
    </w:pPr>
    <w:rPr>
      <w:rFonts w:ascii="Calibri" w:cs="Calibri" w:eastAsia="Calibri" w:hAnsi="Calibri"/>
      <w:sz w:val="20"/>
      <w:szCs w:val="20"/>
      <w:lang w:eastAsia="ru-RU" w:val="uk-UA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14B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14B2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764DBB"/>
    <w:pPr>
      <w:spacing w:after="100" w:afterAutospacing="1" w:before="100" w:beforeAutospacing="1"/>
    </w:pPr>
    <w:rPr>
      <w:lang w:eastAsia="ru-RU" w:val="uk-UA"/>
    </w:rPr>
  </w:style>
  <w:style w:type="paragraph" w:styleId="ListParagraph">
    <w:name w:val="List Paragraph"/>
    <w:basedOn w:val="Normal"/>
    <w:uiPriority w:val="34"/>
    <w:qFormat w:val="1"/>
    <w:rsid w:val="00AD706D"/>
    <w:pPr>
      <w:spacing w:after="160" w:line="259" w:lineRule="auto"/>
      <w:ind w:left="720"/>
      <w:contextualSpacing w:val="1"/>
    </w:pPr>
    <w:rPr>
      <w:rFonts w:ascii="Calibri" w:cs="Calibri" w:eastAsia="Calibri" w:hAnsi="Calibri"/>
      <w:sz w:val="22"/>
      <w:szCs w:val="22"/>
      <w:lang w:eastAsia="ru-RU" w:val="uk-UA"/>
    </w:rPr>
  </w:style>
  <w:style w:type="character" w:styleId="Hyperlink">
    <w:name w:val="Hyperlink"/>
    <w:basedOn w:val="DefaultParagraphFont"/>
    <w:uiPriority w:val="99"/>
    <w:semiHidden w:val="1"/>
    <w:unhideWhenUsed w:val="1"/>
    <w:rsid w:val="00261931"/>
    <w:rPr>
      <w:color w:val="0000ff" w:themeColor="hyperlink"/>
      <w:u w:val="single"/>
    </w:rPr>
  </w:style>
  <w:style w:type="paragraph" w:styleId="Revision">
    <w:name w:val="Revision"/>
    <w:hidden w:val="1"/>
    <w:uiPriority w:val="99"/>
    <w:semiHidden w:val="1"/>
    <w:rsid w:val="006D3D1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D3D1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D3D1B"/>
    <w:rPr>
      <w:b w:val="1"/>
      <w:bCs w:val="1"/>
      <w:sz w:val="20"/>
      <w:szCs w:val="20"/>
    </w:r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875AA"/>
    <w:pPr>
      <w:tabs>
        <w:tab w:val="center" w:pos="4819"/>
        <w:tab w:val="right" w:pos="9639"/>
      </w:tabs>
    </w:pPr>
    <w:rPr>
      <w:rFonts w:ascii="Calibri" w:cs="Calibri" w:eastAsia="Calibri" w:hAnsi="Calibri"/>
      <w:sz w:val="22"/>
      <w:szCs w:val="22"/>
      <w:lang w:eastAsia="ru-RU" w:val="uk-UA"/>
    </w:rPr>
  </w:style>
  <w:style w:type="character" w:styleId="HeaderChar" w:customStyle="1">
    <w:name w:val="Header Char"/>
    <w:basedOn w:val="DefaultParagraphFont"/>
    <w:link w:val="Header"/>
    <w:uiPriority w:val="99"/>
    <w:rsid w:val="00C875AA"/>
  </w:style>
  <w:style w:type="paragraph" w:styleId="Footer">
    <w:name w:val="footer"/>
    <w:basedOn w:val="Normal"/>
    <w:link w:val="FooterChar"/>
    <w:uiPriority w:val="99"/>
    <w:unhideWhenUsed w:val="1"/>
    <w:rsid w:val="00C875AA"/>
    <w:pPr>
      <w:tabs>
        <w:tab w:val="center" w:pos="4819"/>
        <w:tab w:val="right" w:pos="9639"/>
      </w:tabs>
    </w:pPr>
    <w:rPr>
      <w:rFonts w:ascii="Calibri" w:cs="Calibri" w:eastAsia="Calibri" w:hAnsi="Calibri"/>
      <w:sz w:val="22"/>
      <w:szCs w:val="22"/>
      <w:lang w:eastAsia="ru-RU" w:val="uk-UA"/>
    </w:rPr>
  </w:style>
  <w:style w:type="character" w:styleId="FooterChar" w:customStyle="1">
    <w:name w:val="Footer Char"/>
    <w:basedOn w:val="DefaultParagraphFont"/>
    <w:link w:val="Footer"/>
    <w:uiPriority w:val="99"/>
    <w:rsid w:val="00C875AA"/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sngHyvySaeTq26n7d1TkCbcDA==">CgMxLjAyCWguMzBqMHpsbDgAciExc3F6NmlvRjNpYWU3TTN4NHJXMndleFEyRTdwc2gwVEI=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2025-03-05T14:02:00Z</dcterms:created>
  <dc:creator>User</dc:creator>
</cp:coreProperties>
</file>