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24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Технічне завдання для закупівлі </w:t>
      </w:r>
    </w:p>
    <w:p w:rsidR="00000000" w:rsidDel="00000000" w:rsidP="00000000" w:rsidRDefault="00000000" w:rsidRPr="00000000" w14:paraId="00000002">
      <w:pPr>
        <w:widowControl w:val="0"/>
        <w:spacing w:after="0" w:before="240" w:lineRule="auto"/>
        <w:jc w:val="center"/>
        <w:rPr>
          <w:rFonts w:ascii="Arial" w:cs="Arial" w:eastAsia="Arial" w:hAnsi="Arial"/>
          <w:b w:val="1"/>
          <w:bCs w:val="1"/>
          <w:u w:val="single"/>
        </w:rPr>
      </w:pPr>
      <w:r w:rsidDel="00000000" w:rsidR="00000000" w:rsidRPr="00000000">
        <w:rPr>
          <w:rFonts w:ascii="Arial" w:cs="Arial" w:eastAsia="Arial" w:hAnsi="Arial"/>
          <w:b w:val="1"/>
          <w:bCs w:val="1"/>
          <w:rtl w:val="0"/>
        </w:rPr>
        <w:t xml:space="preserve">інформаційно-консультаційних та освітніх послуг щодо працевлаштування бенефіціарів </w:t>
      </w:r>
      <w:r w:rsidDel="00000000" w:rsidR="00000000" w:rsidRPr="00000000">
        <w:rPr>
          <w:rFonts w:ascii="Arial" w:cs="Arial" w:eastAsia="Arial" w:hAnsi="Arial"/>
          <w:b w:val="1"/>
          <w:bCs w:val="1"/>
          <w:u w:val="single"/>
          <w:rtl w:val="0"/>
        </w:rPr>
        <w:t xml:space="preserve">м.Суми та Сумській області</w:t>
      </w:r>
    </w:p>
    <w:p w:rsidR="00000000" w:rsidDel="00000000" w:rsidP="00000000" w:rsidRDefault="00000000" w:rsidRPr="00000000" w14:paraId="00000003">
      <w:pPr>
        <w:widowControl w:val="0"/>
        <w:spacing w:after="0" w:before="240" w:lineRule="auto"/>
        <w:jc w:val="center"/>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  </w:t>
      </w:r>
    </w:p>
    <w:p w:rsidR="00000000" w:rsidDel="00000000" w:rsidP="00000000" w:rsidRDefault="00000000" w:rsidRPr="00000000" w14:paraId="00000004">
      <w:pPr>
        <w:spacing w:after="0" w:line="276" w:lineRule="auto"/>
        <w:jc w:val="both"/>
        <w:rPr>
          <w:rFonts w:ascii="Times New Roman" w:cs="Times New Roman" w:eastAsia="Times New Roman" w:hAnsi="Times New Roman"/>
          <w:b w:val="1"/>
          <w:bCs w:val="1"/>
          <w:color w:val="1e1e4b"/>
        </w:rPr>
      </w:pPr>
      <w:r w:rsidDel="00000000" w:rsidR="00000000" w:rsidRPr="00000000">
        <w:rPr>
          <w:rFonts w:ascii="Times New Roman" w:cs="Times New Roman" w:eastAsia="Times New Roman" w:hAnsi="Times New Roman"/>
          <w:rtl w:val="0"/>
        </w:rPr>
        <w:t xml:space="preserve">Благодійна організація «БЛАГОДІЙНИЙ ФОНД «ПРАВО НА ЗАХИСТ» запрошує до участі в тендері на закупівлю послуги  </w:t>
      </w:r>
      <w:r w:rsidDel="00000000" w:rsidR="00000000" w:rsidRPr="00000000">
        <w:rPr>
          <w:rFonts w:ascii="Times New Roman" w:cs="Times New Roman" w:eastAsia="Times New Roman" w:hAnsi="Times New Roman"/>
          <w:rtl w:val="0"/>
        </w:rPr>
        <w:t xml:space="preserve">консультанта  з  інформаційно-консультаційних та освітніх послуг щодо працевлаштування</w:t>
      </w:r>
      <w:r w:rsidDel="00000000" w:rsidR="00000000" w:rsidRPr="00000000">
        <w:rPr>
          <w:rFonts w:ascii="Times New Roman" w:cs="Times New Roman" w:eastAsia="Times New Roman" w:hAnsi="Times New Roman"/>
          <w:rtl w:val="0"/>
        </w:rPr>
        <w:t xml:space="preserve"> в м. Суми та Сумській області</w:t>
      </w:r>
      <w:r w:rsidDel="00000000" w:rsidR="00000000" w:rsidRPr="00000000">
        <w:rPr>
          <w:rFonts w:ascii="Times New Roman" w:cs="Times New Roman" w:eastAsia="Times New Roman" w:hAnsi="Times New Roman"/>
          <w:b w:val="1"/>
          <w:bCs w:val="1"/>
          <w:rtl w:val="0"/>
        </w:rPr>
        <w:t xml:space="preserve">.</w:t>
      </w:r>
      <w:r w:rsidDel="00000000" w:rsidR="00000000" w:rsidRPr="00000000">
        <w:rPr>
          <w:rtl w:val="0"/>
        </w:rPr>
      </w:r>
    </w:p>
    <w:p w:rsidR="00000000" w:rsidDel="00000000" w:rsidP="00000000" w:rsidRDefault="00000000" w:rsidRPr="00000000" w14:paraId="00000005">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Формат</w:t>
      </w:r>
      <w:r w:rsidDel="00000000" w:rsidR="00000000" w:rsidRPr="00000000">
        <w:rPr>
          <w:rFonts w:ascii="Times New Roman" w:cs="Times New Roman" w:eastAsia="Times New Roman" w:hAnsi="Times New Roman"/>
          <w:rtl w:val="0"/>
        </w:rPr>
        <w:t xml:space="preserve">: офлайн в м.Суми/ з можливістю працювати дистанційно</w:t>
      </w:r>
    </w:p>
    <w:p w:rsidR="00000000" w:rsidDel="00000000" w:rsidP="00000000" w:rsidRDefault="00000000" w:rsidRPr="00000000" w14:paraId="00000007">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Період надання послуг</w:t>
      </w:r>
      <w:r w:rsidDel="00000000" w:rsidR="00000000" w:rsidRPr="00000000">
        <w:rPr>
          <w:rFonts w:ascii="Times New Roman" w:cs="Times New Roman" w:eastAsia="Times New Roman" w:hAnsi="Times New Roman"/>
          <w:rtl w:val="0"/>
        </w:rPr>
        <w:t xml:space="preserve">: Серпень 2026 року - грудень 2026 року</w:t>
      </w:r>
    </w:p>
    <w:p w:rsidR="00000000" w:rsidDel="00000000" w:rsidP="00000000" w:rsidRDefault="00000000" w:rsidRPr="00000000" w14:paraId="00000008">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Місто надання послуги: </w:t>
      </w:r>
      <w:r w:rsidDel="00000000" w:rsidR="00000000" w:rsidRPr="00000000">
        <w:rPr>
          <w:rFonts w:ascii="Times New Roman" w:cs="Times New Roman" w:eastAsia="Times New Roman" w:hAnsi="Times New Roman"/>
          <w:rtl w:val="0"/>
        </w:rPr>
        <w:t xml:space="preserve">м.Суми та Сумська область</w:t>
      </w:r>
    </w:p>
    <w:p w:rsidR="00000000" w:rsidDel="00000000" w:rsidP="00000000" w:rsidRDefault="00000000" w:rsidRPr="00000000" w14:paraId="00000009">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Географія учасників проєкту:</w:t>
      </w:r>
      <w:r w:rsidDel="00000000" w:rsidR="00000000" w:rsidRPr="00000000">
        <w:rPr>
          <w:rFonts w:ascii="Times New Roman" w:cs="Times New Roman" w:eastAsia="Times New Roman" w:hAnsi="Times New Roman"/>
          <w:rtl w:val="0"/>
        </w:rPr>
        <w:t xml:space="preserve"> м.Суми та Сумська область</w:t>
      </w:r>
    </w:p>
    <w:p w:rsidR="00000000" w:rsidDel="00000000" w:rsidP="00000000" w:rsidRDefault="00000000" w:rsidRPr="00000000" w14:paraId="0000000A">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даним тендером передбачено 2 переможця.</w:t>
      </w:r>
    </w:p>
    <w:p w:rsidR="00000000" w:rsidDel="00000000" w:rsidP="00000000" w:rsidRDefault="00000000" w:rsidRPr="00000000" w14:paraId="0000000B">
      <w:pPr>
        <w:spacing w:after="200" w:before="24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Орієнтовна залученість:</w:t>
      </w:r>
      <w:r w:rsidDel="00000000" w:rsidR="00000000" w:rsidRPr="00000000">
        <w:rPr>
          <w:rFonts w:ascii="Times New Roman" w:cs="Times New Roman" w:eastAsia="Times New Roman" w:hAnsi="Times New Roman"/>
          <w:rtl w:val="0"/>
        </w:rPr>
        <w:t xml:space="preserve"> З моменту підписання контракту до 30 грудня 2026 року. Залучення для виконання завдань проєкту орієнтовно становить для одного </w:t>
      </w:r>
      <w:r w:rsidDel="00000000" w:rsidR="00000000" w:rsidRPr="00000000">
        <w:rPr>
          <w:rFonts w:ascii="Times New Roman" w:cs="Times New Roman" w:eastAsia="Times New Roman" w:hAnsi="Times New Roman"/>
          <w:rtl w:val="0"/>
        </w:rPr>
        <w:t xml:space="preserve">консультанта</w:t>
      </w:r>
      <w:r w:rsidDel="00000000" w:rsidR="00000000" w:rsidRPr="00000000">
        <w:rPr>
          <w:rFonts w:ascii="Times New Roman" w:cs="Times New Roman" w:eastAsia="Times New Roman" w:hAnsi="Times New Roman"/>
          <w:rtl w:val="0"/>
        </w:rPr>
        <w:t xml:space="preserve"> до 114</w:t>
      </w:r>
      <w:r w:rsidDel="00000000" w:rsidR="00000000" w:rsidRPr="00000000">
        <w:rPr>
          <w:rFonts w:ascii="Times New Roman" w:cs="Times New Roman" w:eastAsia="Times New Roman" w:hAnsi="Times New Roman"/>
          <w:rtl w:val="0"/>
        </w:rPr>
        <w:t xml:space="preserve"> календарних</w:t>
      </w:r>
      <w:r w:rsidDel="00000000" w:rsidR="00000000" w:rsidRPr="00000000">
        <w:rPr>
          <w:rFonts w:ascii="Times New Roman" w:cs="Times New Roman" w:eastAsia="Times New Roman" w:hAnsi="Times New Roman"/>
          <w:rtl w:val="0"/>
        </w:rPr>
        <w:t xml:space="preserve"> днів по 8 годин, </w:t>
      </w:r>
      <w:r w:rsidDel="00000000" w:rsidR="00000000" w:rsidRPr="00000000">
        <w:rPr>
          <w:rFonts w:ascii="Times New Roman" w:cs="Times New Roman" w:eastAsia="Times New Roman" w:hAnsi="Times New Roman"/>
          <w:rtl w:val="0"/>
        </w:rPr>
        <w:t xml:space="preserve">(де 1 день не має перевищувати 8 годин консультування</w:t>
      </w:r>
      <w:r w:rsidDel="00000000" w:rsidR="00000000" w:rsidRPr="00000000">
        <w:rPr>
          <w:rFonts w:ascii="Times New Roman" w:cs="Times New Roman" w:eastAsia="Times New Roman" w:hAnsi="Times New Roman"/>
          <w:rtl w:val="0"/>
        </w:rPr>
        <w:t xml:space="preserve">) що в цілому становить 912 </w:t>
      </w:r>
      <w:r w:rsidDel="00000000" w:rsidR="00000000" w:rsidRPr="00000000">
        <w:rPr>
          <w:rFonts w:ascii="Times New Roman" w:cs="Times New Roman" w:eastAsia="Times New Roman" w:hAnsi="Times New Roman"/>
          <w:rtl w:val="0"/>
        </w:rPr>
        <w:t xml:space="preserve">робочих</w:t>
      </w:r>
      <w:r w:rsidDel="00000000" w:rsidR="00000000" w:rsidRPr="00000000">
        <w:rPr>
          <w:rFonts w:ascii="Times New Roman" w:cs="Times New Roman" w:eastAsia="Times New Roman" w:hAnsi="Times New Roman"/>
          <w:rtl w:val="0"/>
        </w:rPr>
        <w:t xml:space="preserve"> годин. Оплата б</w:t>
      </w:r>
      <w:r w:rsidDel="00000000" w:rsidR="00000000" w:rsidRPr="00000000">
        <w:rPr>
          <w:rFonts w:ascii="Times New Roman" w:cs="Times New Roman" w:eastAsia="Times New Roman" w:hAnsi="Times New Roman"/>
          <w:highlight w:val="white"/>
          <w:rtl w:val="0"/>
        </w:rPr>
        <w:t xml:space="preserve">уде здійснюватися по факту надання послуг відповідно до звіту обліку витраченого часу на надання послуги з погодинною фіксацією виконання завдань.</w:t>
      </w:r>
      <w:r w:rsidDel="00000000" w:rsidR="00000000" w:rsidRPr="00000000">
        <w:rPr>
          <w:rtl w:val="0"/>
        </w:rPr>
      </w:r>
    </w:p>
    <w:p w:rsidR="00000000" w:rsidDel="00000000" w:rsidP="00000000" w:rsidRDefault="00000000" w:rsidRPr="00000000" w14:paraId="0000000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І. Технічне завдання послуги, що закуповується (вважати орієнтовним попереднім розрахунком):</w:t>
      </w:r>
      <w:r w:rsidDel="00000000" w:rsidR="00000000" w:rsidRPr="00000000">
        <w:rPr>
          <w:rtl w:val="0"/>
        </w:rPr>
      </w:r>
    </w:p>
    <w:p w:rsidR="00000000" w:rsidDel="00000000" w:rsidP="00000000" w:rsidRDefault="00000000" w:rsidRPr="00000000" w14:paraId="0000000D">
      <w:pPr>
        <w:spacing w:after="0" w:line="240" w:lineRule="auto"/>
        <w:jc w:val="both"/>
        <w:rPr>
          <w:rFonts w:ascii="Arial" w:cs="Arial" w:eastAsia="Arial" w:hAnsi="Arial"/>
          <w:b w:val="1"/>
          <w:bCs w:val="1"/>
          <w:sz w:val="20"/>
          <w:szCs w:val="20"/>
        </w:rPr>
      </w:pPr>
      <w:r w:rsidDel="00000000" w:rsidR="00000000" w:rsidRPr="00000000">
        <w:rPr>
          <w:rtl w:val="0"/>
        </w:rPr>
      </w:r>
    </w:p>
    <w:tbl>
      <w:tblPr>
        <w:tblStyle w:val="Table1"/>
        <w:tblW w:w="10185.0" w:type="dxa"/>
        <w:jc w:val="left"/>
        <w:tblInd w:w="-294.0" w:type="dxa"/>
        <w:tblLayout w:type="fixed"/>
        <w:tblLook w:val="0400"/>
      </w:tblPr>
      <w:tblGrid>
        <w:gridCol w:w="720"/>
        <w:gridCol w:w="7785"/>
        <w:gridCol w:w="1680"/>
        <w:tblGridChange w:id="0">
          <w:tblGrid>
            <w:gridCol w:w="720"/>
            <w:gridCol w:w="7785"/>
            <w:gridCol w:w="1680"/>
          </w:tblGrid>
        </w:tblGridChange>
      </w:tblGrid>
      <w:tr>
        <w:trPr>
          <w:cantSplit w:val="0"/>
          <w:trHeight w:val="20" w:hRule="atLeast"/>
          <w:tblHeader w:val="0"/>
        </w:trPr>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E">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t>
            </w:r>
          </w:p>
        </w:tc>
        <w:tc>
          <w:tcPr>
            <w:vMerge w:val="restart"/>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0F">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Опис діяльності</w:t>
            </w:r>
          </w:p>
        </w:tc>
        <w:tc>
          <w:tcPr>
            <w:tcBorders>
              <w:top w:color="000000" w:space="0" w:sz="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010">
            <w:pPr>
              <w:spacing w:after="0" w:lin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Орієнтовна кількість днів</w:t>
            </w:r>
          </w:p>
        </w:tc>
      </w:tr>
      <w:tr>
        <w:trPr>
          <w:cantSplit w:val="0"/>
          <w:trHeight w:val="101.99999999999932" w:hRule="atLeast"/>
          <w:tblHeader w:val="0"/>
        </w:trPr>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Pr>
          <w:p w:rsidR="00000000" w:rsidDel="00000000" w:rsidP="00000000" w:rsidRDefault="00000000" w:rsidRPr="00000000" w14:paraId="00000013">
            <w:pPr>
              <w:spacing w:after="0" w:line="240" w:lineRule="auto"/>
              <w:rPr>
                <w:rFonts w:ascii="Arial" w:cs="Arial" w:eastAsia="Arial" w:hAnsi="Arial"/>
                <w:b w:val="1"/>
                <w:bCs w:val="1"/>
                <w:sz w:val="20"/>
                <w:szCs w:val="20"/>
              </w:rPr>
            </w:pPr>
            <w:r w:rsidDel="00000000" w:rsidR="00000000" w:rsidRPr="00000000">
              <w:rPr>
                <w:rtl w:val="0"/>
              </w:rPr>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4">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5">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Підготовчий етап: ознайомлення з документацією, підходами та методологією, планування діяльності</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3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17">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18">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Проведення індивідуальних та групових консультацій. </w:t>
            </w:r>
          </w:p>
          <w:p w:rsidR="00000000" w:rsidDel="00000000" w:rsidP="00000000" w:rsidRDefault="00000000" w:rsidRPr="00000000" w14:paraId="0000001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Індивідуальний супровід бенефіціарів передбачає підвищення їх компетенцій у пошуку роботи, підготовці до працевлаштування або самозайнятості, включаючи:</w:t>
            </w:r>
          </w:p>
          <w:p w:rsidR="00000000" w:rsidDel="00000000" w:rsidP="00000000" w:rsidRDefault="00000000" w:rsidRPr="00000000" w14:paraId="0000001A">
            <w:pPr>
              <w:numPr>
                <w:ilvl w:val="0"/>
                <w:numId w:val="1"/>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навчання базовим навичкам взаємодії з роботодавцями (наприклад, правильне написання резюме, самопрезентації, розуміння очікувань роботодавців, спілкування з роботодавцями тощо);</w:t>
            </w:r>
            <w:r w:rsidDel="00000000" w:rsidR="00000000" w:rsidRPr="00000000">
              <w:rPr>
                <w:rtl w:val="0"/>
              </w:rPr>
            </w:r>
          </w:p>
          <w:p w:rsidR="00000000" w:rsidDel="00000000" w:rsidP="00000000" w:rsidRDefault="00000000" w:rsidRPr="00000000" w14:paraId="0000001B">
            <w:pPr>
              <w:numPr>
                <w:ilvl w:val="0"/>
                <w:numId w:val="1"/>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допомога у пошуку вакансій та можливостей саморозвитку; </w:t>
            </w:r>
            <w:r w:rsidDel="00000000" w:rsidR="00000000" w:rsidRPr="00000000">
              <w:rPr>
                <w:rtl w:val="0"/>
              </w:rPr>
            </w:r>
          </w:p>
          <w:p w:rsidR="00000000" w:rsidDel="00000000" w:rsidP="00000000" w:rsidRDefault="00000000" w:rsidRPr="00000000" w14:paraId="0000001C">
            <w:pPr>
              <w:numPr>
                <w:ilvl w:val="0"/>
                <w:numId w:val="1"/>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супровід у процесі подання заявки на працевлаштування;</w:t>
            </w:r>
            <w:r w:rsidDel="00000000" w:rsidR="00000000" w:rsidRPr="00000000">
              <w:rPr>
                <w:rtl w:val="0"/>
              </w:rPr>
            </w:r>
          </w:p>
          <w:p w:rsidR="00000000" w:rsidDel="00000000" w:rsidP="00000000" w:rsidRDefault="00000000" w:rsidRPr="00000000" w14:paraId="0000001D">
            <w:pPr>
              <w:numPr>
                <w:ilvl w:val="0"/>
                <w:numId w:val="1"/>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ознайомлення із шляхами започаткуванням власної справи та асистування в цьому процесі.</w:t>
            </w:r>
            <w:r w:rsidDel="00000000" w:rsidR="00000000" w:rsidRPr="00000000">
              <w:rPr>
                <w:rtl w:val="0"/>
              </w:rPr>
            </w:r>
          </w:p>
          <w:p w:rsidR="00000000" w:rsidDel="00000000" w:rsidP="00000000" w:rsidRDefault="00000000" w:rsidRPr="00000000" w14:paraId="0000001E">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Цільова аудиторія: жителі м.Суми та Сумської області, які підпадають щонайменше під один з критеріїв:  </w:t>
            </w:r>
          </w:p>
          <w:p w:rsidR="00000000" w:rsidDel="00000000" w:rsidP="00000000" w:rsidRDefault="00000000" w:rsidRPr="00000000" w14:paraId="00000020">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внутрішньо переміщені особи;</w:t>
            </w:r>
            <w:r w:rsidDel="00000000" w:rsidR="00000000" w:rsidRPr="00000000">
              <w:rPr>
                <w:rtl w:val="0"/>
              </w:rPr>
            </w:r>
          </w:p>
          <w:p w:rsidR="00000000" w:rsidDel="00000000" w:rsidP="00000000" w:rsidRDefault="00000000" w:rsidRPr="00000000" w14:paraId="00000021">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мати/батько- одинак;</w:t>
            </w:r>
            <w:r w:rsidDel="00000000" w:rsidR="00000000" w:rsidRPr="00000000">
              <w:rPr>
                <w:rtl w:val="0"/>
              </w:rPr>
            </w:r>
          </w:p>
          <w:p w:rsidR="00000000" w:rsidDel="00000000" w:rsidP="00000000" w:rsidRDefault="00000000" w:rsidRPr="00000000" w14:paraId="00000022">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малозабезпечені сім’ї з дітьми;</w:t>
            </w:r>
            <w:r w:rsidDel="00000000" w:rsidR="00000000" w:rsidRPr="00000000">
              <w:rPr>
                <w:rtl w:val="0"/>
              </w:rPr>
            </w:r>
          </w:p>
          <w:p w:rsidR="00000000" w:rsidDel="00000000" w:rsidP="00000000" w:rsidRDefault="00000000" w:rsidRPr="00000000" w14:paraId="00000023">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багатодітні сім’ї;</w:t>
            </w:r>
            <w:r w:rsidDel="00000000" w:rsidR="00000000" w:rsidRPr="00000000">
              <w:rPr>
                <w:rtl w:val="0"/>
              </w:rPr>
            </w:r>
          </w:p>
          <w:p w:rsidR="00000000" w:rsidDel="00000000" w:rsidP="00000000" w:rsidRDefault="00000000" w:rsidRPr="00000000" w14:paraId="00000024">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сім’ї, які виховують дитину(дітей) з інвалідністю;</w:t>
            </w:r>
            <w:r w:rsidDel="00000000" w:rsidR="00000000" w:rsidRPr="00000000">
              <w:rPr>
                <w:rtl w:val="0"/>
              </w:rPr>
            </w:r>
          </w:p>
          <w:p w:rsidR="00000000" w:rsidDel="00000000" w:rsidP="00000000" w:rsidRDefault="00000000" w:rsidRPr="00000000" w14:paraId="00000025">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люди, які постраждали внаслідок воєнних дій;</w:t>
            </w:r>
            <w:r w:rsidDel="00000000" w:rsidR="00000000" w:rsidRPr="00000000">
              <w:rPr>
                <w:rtl w:val="0"/>
              </w:rPr>
            </w:r>
          </w:p>
          <w:p w:rsidR="00000000" w:rsidDel="00000000" w:rsidP="00000000" w:rsidRDefault="00000000" w:rsidRPr="00000000" w14:paraId="00000026">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жінки, які очолюють домогосподарства;</w:t>
            </w:r>
            <w:r w:rsidDel="00000000" w:rsidR="00000000" w:rsidRPr="00000000">
              <w:rPr>
                <w:rtl w:val="0"/>
              </w:rPr>
            </w:r>
          </w:p>
          <w:p w:rsidR="00000000" w:rsidDel="00000000" w:rsidP="00000000" w:rsidRDefault="00000000" w:rsidRPr="00000000" w14:paraId="00000027">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люди з інвалідністю;</w:t>
            </w:r>
            <w:r w:rsidDel="00000000" w:rsidR="00000000" w:rsidRPr="00000000">
              <w:rPr>
                <w:rtl w:val="0"/>
              </w:rPr>
            </w:r>
          </w:p>
          <w:p w:rsidR="00000000" w:rsidDel="00000000" w:rsidP="00000000" w:rsidRDefault="00000000" w:rsidRPr="00000000" w14:paraId="00000028">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ветерани та члени їх родин</w:t>
            </w:r>
            <w:r w:rsidDel="00000000" w:rsidR="00000000" w:rsidRPr="00000000">
              <w:rPr>
                <w:rtl w:val="0"/>
              </w:rPr>
            </w:r>
          </w:p>
          <w:p w:rsidR="00000000" w:rsidDel="00000000" w:rsidP="00000000" w:rsidRDefault="00000000" w:rsidRPr="00000000" w14:paraId="00000029">
            <w:pPr>
              <w:numPr>
                <w:ilvl w:val="0"/>
                <w:numId w:val="2"/>
              </w:numPr>
              <w:spacing w:after="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інші вразливі категорії</w:t>
            </w:r>
            <w:r w:rsidDel="00000000" w:rsidR="00000000" w:rsidRPr="00000000">
              <w:rPr>
                <w:rtl w:val="0"/>
              </w:rPr>
            </w:r>
          </w:p>
          <w:p w:rsidR="00000000" w:rsidDel="00000000" w:rsidP="00000000" w:rsidRDefault="00000000" w:rsidRPr="00000000" w14:paraId="0000002A">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B">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C">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D">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E">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2F">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61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0">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1">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Менторство бенефіціарів після працевлаштування для вирішення проблемних питань та забезпечення постійної роботи</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2">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7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3">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4">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Проведення тренінгів, вебінарів, інформаційних сесій  та презентацій для бенефіціарів, які б сприяли вирішенню їхніх запитів</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5">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16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6">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7">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Створення та постійне розширення бази роботодавців для працевлаштування бенефіціарів</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8">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10  днів</w:t>
            </w:r>
          </w:p>
        </w:tc>
      </w:tr>
      <w:tr>
        <w:trPr>
          <w:cantSplit w:val="0"/>
          <w:trHeight w:val="1526.86523437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9">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A">
            <w:pPr>
              <w:spacing w:after="12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Налагодження та підтримка контактів з центрами зайнятості, центрами надання соціальних послуг, місцями тимчасового проживання бенефіціарів, неурядовими громадськими організаціями, різноманітними соціально відповідальними компаніями, роботодавцями та іншими стейкхолдерами у визначених проєктом місцевостях</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B">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до 10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Інші релевантні завдання за додатковим запитом та погодженням </w:t>
            </w:r>
          </w:p>
          <w:p w:rsidR="00000000" w:rsidDel="00000000" w:rsidP="00000000" w:rsidRDefault="00000000" w:rsidRPr="00000000" w14:paraId="0000003E">
            <w:pP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F">
            <w:pPr>
              <w:spacing w:after="0" w:line="240" w:lineRule="auto"/>
              <w:rPr>
                <w:rFonts w:ascii="Arial" w:cs="Arial" w:eastAsia="Arial" w:hAnsi="Arial"/>
                <w:sz w:val="20"/>
                <w:szCs w:val="2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0">
            <w:pPr>
              <w:spacing w:after="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до 7 днів</w:t>
            </w:r>
          </w:p>
        </w:tc>
      </w:tr>
      <w:tr>
        <w:trPr>
          <w:cantSplit w:val="0"/>
          <w:trHeight w:val="2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1">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2">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Забезпечення ведення повної, ретельної, точної документації в належному порядку відповідно до правових норм та правил етики;</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3">
            <w:pPr>
              <w:spacing w:after="0" w:line="240"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в період надання послуг </w:t>
            </w:r>
          </w:p>
        </w:tc>
      </w:tr>
      <w:tr>
        <w:trPr>
          <w:cantSplit w:val="0"/>
          <w:trHeight w:val="20" w:hRule="atLeast"/>
          <w:tblHeader w:val="0"/>
        </w:trPr>
        <w:tc>
          <w:tcPr>
            <w:gridSpan w:val="2"/>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4">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Усього днів діяльності:</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до 114 днів</w:t>
            </w:r>
          </w:p>
        </w:tc>
      </w:tr>
    </w:tbl>
    <w:p w:rsidR="00000000" w:rsidDel="00000000" w:rsidP="00000000" w:rsidRDefault="00000000" w:rsidRPr="00000000" w14:paraId="00000047">
      <w:pPr>
        <w:spacing w:after="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8">
      <w:pPr>
        <w:spacing w:after="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Кількість днів на виконання кожного етапу реалізації може змінюватись у процесі виконання проєкту та погоджується і затверджується безпосередньо з менеджером проєкту Фонду. </w:t>
      </w:r>
    </w:p>
    <w:p w:rsidR="00000000" w:rsidDel="00000000" w:rsidP="00000000" w:rsidRDefault="00000000" w:rsidRPr="00000000" w14:paraId="00000049">
      <w:pPr>
        <w:spacing w:after="0"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A">
      <w:pPr>
        <w:spacing w:after="0" w:line="240" w:lineRule="auto"/>
        <w:jc w:val="both"/>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highlight w:val="white"/>
          <w:rtl w:val="0"/>
        </w:rPr>
        <w:t xml:space="preserve">Попередньо очікується, що загальна кількість днів роботи постачальника послуг не перевищуватиме </w:t>
      </w:r>
      <w:r w:rsidDel="00000000" w:rsidR="00000000" w:rsidRPr="00000000">
        <w:rPr>
          <w:rFonts w:ascii="Times New Roman" w:cs="Times New Roman" w:eastAsia="Times New Roman" w:hAnsi="Times New Roman"/>
          <w:rtl w:val="0"/>
        </w:rPr>
        <w:t xml:space="preserve">114 календарних днів.</w:t>
      </w:r>
      <w:r w:rsidDel="00000000" w:rsidR="00000000" w:rsidRPr="00000000">
        <w:rPr>
          <w:rFonts w:ascii="Times New Roman" w:cs="Times New Roman" w:eastAsia="Times New Roman" w:hAnsi="Times New Roman"/>
          <w:highlight w:val="yellow"/>
          <w:rtl w:val="0"/>
        </w:rPr>
        <w:t xml:space="preserve"> </w:t>
      </w:r>
    </w:p>
    <w:p w:rsidR="00000000" w:rsidDel="00000000" w:rsidP="00000000" w:rsidRDefault="00000000" w:rsidRPr="00000000" w14:paraId="0000004B">
      <w:pPr>
        <w:widowControl w:val="0"/>
        <w:tabs>
          <w:tab w:val="left" w:leader="none" w:pos="284"/>
        </w:tabs>
        <w:spacing w:after="120" w:line="276" w:lineRule="auto"/>
        <w:ind w:right="-289"/>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rtl w:val="0"/>
        </w:rPr>
        <w:t xml:space="preserve">ВАЖЛИВО</w:t>
      </w:r>
      <w:r w:rsidDel="00000000" w:rsidR="00000000" w:rsidRPr="00000000">
        <w:rPr>
          <w:rFonts w:ascii="Times New Roman" w:cs="Times New Roman" w:eastAsia="Times New Roman" w:hAnsi="Times New Roman"/>
          <w:rtl w:val="0"/>
        </w:rPr>
        <w:t xml:space="preserve">: Усі робочі дні мають бути підтверджені Звітом щодо витраченого часу на надання послуг. Оформлення звіту обліку часу витраченого на надання послуги буде проводитися відповідно до шаблону наданого Фондом та міститиме щонайменше дату, кількість витраченого часу та опис змісту постачальника наданих послуг за відпрацьовані години.</w:t>
      </w:r>
    </w:p>
    <w:p w:rsidR="00000000" w:rsidDel="00000000" w:rsidP="00000000" w:rsidRDefault="00000000" w:rsidRPr="00000000" w14:paraId="0000004D">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after="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ІІ. Звітність. </w:t>
      </w:r>
    </w:p>
    <w:p w:rsidR="00000000" w:rsidDel="00000000" w:rsidP="00000000" w:rsidRDefault="00000000" w:rsidRPr="00000000" w14:paraId="0000004F">
      <w:pPr>
        <w:widowControl w:val="0"/>
        <w:spacing w:after="12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Постачальник послуг регулярно звітує про свою діяльність відповідному менеджеру проєкту Фонду, координаторці програми економічної включеності ВПО та постраждалого населення та, за вимогою, іншим залученим фахівцям або особам Фонду.  Звіти та всі супровідні матеріали, виготовлені Виконавцем в рамках договору, мають бути передані Фонду без обтяження щодо авторських прав.</w:t>
      </w:r>
    </w:p>
    <w:p w:rsidR="00000000" w:rsidDel="00000000" w:rsidP="00000000" w:rsidRDefault="00000000" w:rsidRPr="00000000" w14:paraId="00000051">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Звітність включає в себе (але не обмежується) такі документи:</w:t>
      </w:r>
    </w:p>
    <w:p w:rsidR="00000000" w:rsidDel="00000000" w:rsidP="00000000" w:rsidRDefault="00000000" w:rsidRPr="00000000" w14:paraId="00000052">
      <w:pPr>
        <w:numPr>
          <w:ilvl w:val="0"/>
          <w:numId w:val="4"/>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Звіт щодо витраченого часу на надання послуг (із погодинною деталізацією);</w:t>
      </w:r>
    </w:p>
    <w:p w:rsidR="00000000" w:rsidDel="00000000" w:rsidP="00000000" w:rsidRDefault="00000000" w:rsidRPr="00000000" w14:paraId="00000053">
      <w:pPr>
        <w:numPr>
          <w:ilvl w:val="0"/>
          <w:numId w:val="4"/>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Резюме консультування та супроводу бенефіціарів;</w:t>
      </w:r>
    </w:p>
    <w:p w:rsidR="00000000" w:rsidDel="00000000" w:rsidP="00000000" w:rsidRDefault="00000000" w:rsidRPr="00000000" w14:paraId="00000054">
      <w:pPr>
        <w:numPr>
          <w:ilvl w:val="0"/>
          <w:numId w:val="4"/>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Щомісячні підсумкові звіти про виконання завдань</w:t>
      </w:r>
      <w:r w:rsidDel="00000000" w:rsidR="00000000" w:rsidRPr="00000000">
        <w:rPr>
          <w:rtl w:val="0"/>
        </w:rPr>
      </w:r>
    </w:p>
    <w:p w:rsidR="00000000" w:rsidDel="00000000" w:rsidP="00000000" w:rsidRDefault="00000000" w:rsidRPr="00000000" w14:paraId="00000055">
      <w:pPr>
        <w:numPr>
          <w:ilvl w:val="0"/>
          <w:numId w:val="4"/>
        </w:numPr>
        <w:spacing w:after="12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Підсумковий звіт про виконання завдання.</w:t>
      </w:r>
    </w:p>
    <w:p w:rsidR="00000000" w:rsidDel="00000000" w:rsidP="00000000" w:rsidRDefault="00000000" w:rsidRPr="00000000" w14:paraId="00000056">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Вищезазначені документи надаються постачальником послуг не пізніше, ніж через 3 днів після того, як відповідне завдання було виконане згідно із узгодженим графіком надання послуг.</w:t>
      </w:r>
    </w:p>
    <w:p w:rsidR="00000000" w:rsidDel="00000000" w:rsidP="00000000" w:rsidRDefault="00000000" w:rsidRPr="00000000" w14:paraId="00000057">
      <w:pPr>
        <w:widowControl w:val="0"/>
        <w:tabs>
          <w:tab w:val="left" w:leader="none" w:pos="284"/>
        </w:tabs>
        <w:spacing w:after="12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widowControl w:val="0"/>
        <w:tabs>
          <w:tab w:val="left" w:leader="none" w:pos="284"/>
        </w:tabs>
        <w:spacing w:after="120" w:line="276"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widowControl w:val="0"/>
        <w:spacing w:after="0" w:befor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keepNext w:val="1"/>
        <w:keepLines w:val="1"/>
        <w:spacing w:after="120" w:line="276"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ІІІ. Умови проведення тендеру та співпраці.</w:t>
      </w:r>
    </w:p>
    <w:p w:rsidR="00000000" w:rsidDel="00000000" w:rsidP="00000000" w:rsidRDefault="00000000" w:rsidRPr="00000000" w14:paraId="0000005B">
      <w:pPr>
        <w:spacing w:after="0" w:line="276"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5C">
      <w:pPr>
        <w:spacing w:after="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ФОП 3-ї групи чи юридична особа</w:t>
      </w:r>
      <w:r w:rsidDel="00000000" w:rsidR="00000000" w:rsidRPr="00000000">
        <w:rPr>
          <w:rFonts w:ascii="Times New Roman" w:cs="Times New Roman" w:eastAsia="Times New Roman" w:hAnsi="Times New Roman"/>
          <w:rtl w:val="0"/>
        </w:rPr>
        <w:t xml:space="preserve">, що подає свою пропозицію на участь у тендері. Виконавець у контексті цього тендеру є особа, яка безпосередньо здійснюватиме надання послуг відповідно до умов тендерної документації та укладеного договору. </w:t>
      </w:r>
    </w:p>
    <w:p w:rsidR="00000000" w:rsidDel="00000000" w:rsidP="00000000" w:rsidRDefault="00000000" w:rsidRPr="00000000" w14:paraId="0000005D">
      <w:pPr>
        <w:spacing w:after="0" w:line="276" w:lineRule="auto"/>
        <w:ind w:firstLine="72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робочих днів з дати підписання Акту виконаних робіт.  Акт виконаних робіт має бути поданий кожного місяця, протягом 7 днів станом на перше число кожного місяця відповідно до обсягу наданих послуг за звітний період.</w:t>
      </w:r>
    </w:p>
    <w:p w:rsidR="00000000" w:rsidDel="00000000" w:rsidP="00000000" w:rsidRDefault="00000000" w:rsidRPr="00000000" w14:paraId="0000005E">
      <w:pPr>
        <w:spacing w:after="0" w:line="276" w:lineRule="auto"/>
        <w:ind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5F">
      <w:pPr>
        <w:spacing w:after="0" w:line="276" w:lineRule="auto"/>
        <w:ind w:firstLine="708.661417322834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у будь-який момент, але не пізніше як 1 (один) день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60">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Учасник не має перебувати в процесі припинення діяльності ФОП.</w:t>
      </w:r>
    </w:p>
    <w:p w:rsidR="00000000" w:rsidDel="00000000" w:rsidP="00000000" w:rsidRDefault="00000000" w:rsidRPr="00000000" w14:paraId="00000061">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r>
      <w:r w:rsidDel="00000000" w:rsidR="00000000" w:rsidRPr="00000000">
        <w:rPr>
          <w:rFonts w:ascii="Times New Roman" w:cs="Times New Roman" w:eastAsia="Times New Roman" w:hAnsi="Times New Roman"/>
          <w:b w:val="1"/>
          <w:bCs w:val="1"/>
          <w:rtl w:val="0"/>
        </w:rPr>
        <w:t xml:space="preserve">Вимоги до подання пропозицій</w:t>
      </w:r>
      <w:r w:rsidDel="00000000" w:rsidR="00000000" w:rsidRPr="00000000">
        <w:rPr>
          <w:rFonts w:ascii="Times New Roman" w:cs="Times New Roman" w:eastAsia="Times New Roman" w:hAnsi="Times New Roman"/>
          <w:rtl w:val="0"/>
        </w:rPr>
        <w:br w:type="textWrapping"/>
        <w:t xml:space="preserve">Пропозиція повинна бути складена </w:t>
      </w:r>
      <w:r w:rsidDel="00000000" w:rsidR="00000000" w:rsidRPr="00000000">
        <w:rPr>
          <w:rFonts w:ascii="Times New Roman" w:cs="Times New Roman" w:eastAsia="Times New Roman" w:hAnsi="Times New Roman"/>
          <w:b w:val="1"/>
          <w:bCs w:val="1"/>
          <w:highlight w:val="white"/>
          <w:u w:val="single"/>
          <w:rtl w:val="0"/>
        </w:rPr>
        <w:t xml:space="preserve">українською мовою</w:t>
      </w:r>
      <w:r w:rsidDel="00000000" w:rsidR="00000000" w:rsidRPr="00000000">
        <w:rPr>
          <w:rFonts w:ascii="Times New Roman" w:cs="Times New Roman" w:eastAsia="Times New Roman" w:hAnsi="Times New Roman"/>
          <w:highlight w:val="white"/>
          <w:rtl w:val="0"/>
        </w:rPr>
        <w:t xml:space="preserve"> і містити:</w:t>
      </w:r>
      <w:r w:rsidDel="00000000" w:rsidR="00000000" w:rsidRPr="00000000">
        <w:rPr>
          <w:rtl w:val="0"/>
        </w:rPr>
      </w:r>
    </w:p>
    <w:p w:rsidR="00000000" w:rsidDel="00000000" w:rsidP="00000000" w:rsidRDefault="00000000" w:rsidRPr="00000000" w14:paraId="00000062">
      <w:pPr>
        <w:numPr>
          <w:ilvl w:val="0"/>
          <w:numId w:val="3"/>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Реєстраційні документи</w:t>
      </w:r>
      <w:r w:rsidDel="00000000" w:rsidR="00000000" w:rsidRPr="00000000">
        <w:rPr>
          <w:rFonts w:ascii="Times New Roman" w:cs="Times New Roman" w:eastAsia="Times New Roman" w:hAnsi="Times New Roman"/>
          <w:rtl w:val="0"/>
        </w:rPr>
        <w:t xml:space="preserve"> організації/ФОП.</w:t>
      </w:r>
    </w:p>
    <w:p w:rsidR="00000000" w:rsidDel="00000000" w:rsidP="00000000" w:rsidRDefault="00000000" w:rsidRPr="00000000" w14:paraId="00000063">
      <w:pPr>
        <w:numPr>
          <w:ilvl w:val="0"/>
          <w:numId w:val="3"/>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Резюме</w:t>
      </w:r>
      <w:r w:rsidDel="00000000" w:rsidR="00000000" w:rsidRPr="00000000">
        <w:rPr>
          <w:rFonts w:ascii="Times New Roman" w:cs="Times New Roman" w:eastAsia="Times New Roman" w:hAnsi="Times New Roman"/>
          <w:rtl w:val="0"/>
        </w:rPr>
        <w:t xml:space="preserve"> консультанта , який буде надавати послугу, опис його кваліфікації, рівень освіти, досвід роботи з кар’єрного консультування, включаючи інформацію про попередній дотичний досвід.</w:t>
      </w:r>
    </w:p>
    <w:p w:rsidR="00000000" w:rsidDel="00000000" w:rsidP="00000000" w:rsidRDefault="00000000" w:rsidRPr="00000000" w14:paraId="00000064">
      <w:pPr>
        <w:numPr>
          <w:ilvl w:val="0"/>
          <w:numId w:val="3"/>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Методичні матеріали /напрацювання/статті, </w:t>
      </w:r>
      <w:r w:rsidDel="00000000" w:rsidR="00000000" w:rsidRPr="00000000">
        <w:rPr>
          <w:rFonts w:ascii="Times New Roman" w:cs="Times New Roman" w:eastAsia="Times New Roman" w:hAnsi="Times New Roman"/>
          <w:rtl w:val="0"/>
        </w:rPr>
        <w:t xml:space="preserve">які,підтверджують досвід роботи у  сфері працевлаштування або рекрутингу.</w:t>
      </w:r>
    </w:p>
    <w:p w:rsidR="00000000" w:rsidDel="00000000" w:rsidP="00000000" w:rsidRDefault="00000000" w:rsidRPr="00000000" w14:paraId="00000065">
      <w:pPr>
        <w:numPr>
          <w:ilvl w:val="0"/>
          <w:numId w:val="3"/>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Інформація про досвід</w:t>
      </w:r>
      <w:r w:rsidDel="00000000" w:rsidR="00000000" w:rsidRPr="00000000">
        <w:rPr>
          <w:rFonts w:ascii="Times New Roman" w:cs="Times New Roman" w:eastAsia="Times New Roman" w:hAnsi="Times New Roman"/>
          <w:rtl w:val="0"/>
        </w:rPr>
        <w:t xml:space="preserve"> консультанта , який надаватиме послуги, щодо співпраці з неприбутковими організаціями та організаціями, що надають гуманітарні та/чи соціальні послуги (договори, дипломи, рекомендаційні листи,сертифікати, інші підтверджуючі документи - за наявності)</w:t>
      </w:r>
      <w:r w:rsidDel="00000000" w:rsidR="00000000" w:rsidRPr="00000000">
        <w:rPr>
          <w:rtl w:val="0"/>
        </w:rPr>
      </w:r>
    </w:p>
    <w:p w:rsidR="00000000" w:rsidDel="00000000" w:rsidP="00000000" w:rsidRDefault="00000000" w:rsidRPr="00000000" w14:paraId="00000066">
      <w:pPr>
        <w:widowControl w:val="0"/>
        <w:spacing w:after="120" w:line="24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numPr>
          <w:ilvl w:val="0"/>
          <w:numId w:val="3"/>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Інформацію про досвід </w:t>
      </w:r>
      <w:r w:rsidDel="00000000" w:rsidR="00000000" w:rsidRPr="00000000">
        <w:rPr>
          <w:rFonts w:ascii="Times New Roman" w:cs="Times New Roman" w:eastAsia="Times New Roman" w:hAnsi="Times New Roman"/>
          <w:rtl w:val="0"/>
        </w:rPr>
        <w:t xml:space="preserve">консультанта, який надаватиме послуги, з надання вказаних послуг вразливим категоріям населення (договори, дипломи, рекомендаційні листи,сертифікати, інші підтверджуючі документи - за наявності). </w:t>
      </w:r>
    </w:p>
    <w:p w:rsidR="00000000" w:rsidDel="00000000" w:rsidP="00000000" w:rsidRDefault="00000000" w:rsidRPr="00000000" w14:paraId="00000068">
      <w:pP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numPr>
          <w:ilvl w:val="0"/>
          <w:numId w:val="3"/>
        </w:numPr>
        <w:spacing w:after="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Рекомендаційні листи/відгуки клієнтів (за наявності).</w:t>
      </w:r>
      <w:r w:rsidDel="00000000" w:rsidR="00000000" w:rsidRPr="00000000">
        <w:rPr>
          <w:rtl w:val="0"/>
        </w:rPr>
      </w:r>
    </w:p>
    <w:p w:rsidR="00000000" w:rsidDel="00000000" w:rsidP="00000000" w:rsidRDefault="00000000" w:rsidRPr="00000000" w14:paraId="0000006A">
      <w:pPr>
        <w:spacing w:after="0" w:line="240" w:lineRule="auto"/>
        <w:ind w:left="72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numPr>
          <w:ilvl w:val="0"/>
          <w:numId w:val="3"/>
        </w:numPr>
        <w:spacing w:after="0" w:line="276" w:lineRule="auto"/>
        <w:ind w:left="720" w:hanging="360"/>
        <w:jc w:val="both"/>
        <w:rPr/>
      </w:pPr>
      <w:r w:rsidDel="00000000" w:rsidR="00000000" w:rsidRPr="00000000">
        <w:rPr>
          <w:rFonts w:ascii="Times New Roman" w:cs="Times New Roman" w:eastAsia="Times New Roman" w:hAnsi="Times New Roman"/>
          <w:b w:val="1"/>
          <w:bCs w:val="1"/>
          <w:rtl w:val="0"/>
        </w:rPr>
        <w:t xml:space="preserve">Додаток В. (Цінова пропозиція.)</w:t>
      </w:r>
      <w:r w:rsidDel="00000000" w:rsidR="00000000" w:rsidRPr="00000000">
        <w:rPr>
          <w:rFonts w:ascii="Times New Roman" w:cs="Times New Roman" w:eastAsia="Times New Roman" w:hAnsi="Times New Roman"/>
          <w:rtl w:val="0"/>
        </w:rPr>
        <w:t xml:space="preserve"> Цінова пропозиція повинна бути подана за встановленою формою з використанням української гривні в якості валюти. Цінова пропозиція має бути підписана та завірена печаткою, якщо є. Учасник самостійно визначає ціну на послуги, які він пропонує надати за Договором про закупівлю. У вартість додати всі витрати, необхідні для надання послуги.</w:t>
      </w:r>
      <w:r w:rsidDel="00000000" w:rsidR="00000000" w:rsidRPr="00000000">
        <w:rPr>
          <w:rtl w:val="0"/>
        </w:rPr>
      </w:r>
    </w:p>
    <w:p w:rsidR="00000000" w:rsidDel="00000000" w:rsidP="00000000" w:rsidRDefault="00000000" w:rsidRPr="00000000" w14:paraId="0000006C">
      <w:pPr>
        <w:spacing w:after="0" w:line="276"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numPr>
          <w:ilvl w:val="0"/>
          <w:numId w:val="3"/>
        </w:numPr>
        <w:spacing w:after="0" w:line="276" w:lineRule="auto"/>
        <w:ind w:left="720" w:hanging="36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Контактну інформацію</w:t>
      </w:r>
      <w:r w:rsidDel="00000000" w:rsidR="00000000" w:rsidRPr="00000000">
        <w:rPr>
          <w:rFonts w:ascii="Times New Roman" w:cs="Times New Roman" w:eastAsia="Times New Roman" w:hAnsi="Times New Roman"/>
          <w:rtl w:val="0"/>
        </w:rPr>
        <w:t xml:space="preserve"> організації/ консультанта.</w:t>
      </w:r>
    </w:p>
    <w:p w:rsidR="00000000" w:rsidDel="00000000" w:rsidP="00000000" w:rsidRDefault="00000000" w:rsidRPr="00000000" w14:paraId="0000006E">
      <w:pPr>
        <w:spacing w:after="0" w:line="276"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spacing w:after="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Оцінювання тендерних пропозицій буде складатися на 70% з оцінки технічних пропозицій та на 30% з оцінки цінових пропозицій.</w:t>
      </w:r>
      <w:r w:rsidDel="00000000" w:rsidR="00000000" w:rsidRPr="00000000">
        <w:rPr>
          <w:rtl w:val="0"/>
        </w:rPr>
      </w:r>
    </w:p>
    <w:p w:rsidR="00000000" w:rsidDel="00000000" w:rsidP="00000000" w:rsidRDefault="00000000" w:rsidRPr="00000000" w14:paraId="00000070">
      <w:pPr>
        <w:widowControl w:val="0"/>
        <w:spacing w:after="24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Щодо деталей проведення консультацій просимо звертатися до Швець Тетяни </w:t>
      </w:r>
      <w:hyperlink r:id="rId7">
        <w:r w:rsidDel="00000000" w:rsidR="00000000" w:rsidRPr="00000000">
          <w:rPr>
            <w:rFonts w:ascii="Times New Roman" w:cs="Times New Roman" w:eastAsia="Times New Roman" w:hAnsi="Times New Roman"/>
            <w:color w:val="1155cc"/>
            <w:highlight w:val="white"/>
            <w:u w:val="single"/>
            <w:rtl w:val="0"/>
          </w:rPr>
          <w:t xml:space="preserve">te.shvets@r2p.org.ua</w:t>
        </w:r>
      </w:hyperlink>
      <w:r w:rsidDel="00000000" w:rsidR="00000000" w:rsidRPr="00000000">
        <w:rPr>
          <w:rFonts w:ascii="Times New Roman" w:cs="Times New Roman" w:eastAsia="Times New Roman" w:hAnsi="Times New Roman"/>
          <w:color w:val="222222"/>
          <w:highlight w:val="white"/>
          <w:rtl w:val="0"/>
        </w:rPr>
        <w:t xml:space="preserve">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71">
      <w:pPr>
        <w:widowControl w:val="0"/>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widowControl w:val="0"/>
        <w:spacing w:after="240" w:before="240" w:lineRule="auto"/>
        <w:rPr>
          <w:rFonts w:ascii="Times New Roman" w:cs="Times New Roman" w:eastAsia="Times New Roman" w:hAnsi="Times New Roman"/>
        </w:rPr>
      </w:pPr>
      <w:r w:rsidDel="00000000" w:rsidR="00000000" w:rsidRPr="00000000">
        <w:rPr>
          <w:rtl w:val="0"/>
        </w:rPr>
      </w:r>
    </w:p>
    <w:tbl>
      <w:tblPr>
        <w:tblStyle w:val="Table2"/>
        <w:tblW w:w="96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25"/>
        <w:gridCol w:w="2340"/>
        <w:gridCol w:w="5115"/>
        <w:gridCol w:w="1635"/>
        <w:tblGridChange w:id="0">
          <w:tblGrid>
            <w:gridCol w:w="525"/>
            <w:gridCol w:w="2340"/>
            <w:gridCol w:w="5115"/>
            <w:gridCol w:w="1635"/>
          </w:tblGrid>
        </w:tblGridChange>
      </w:tblGrid>
      <w:tr>
        <w:trPr>
          <w:cantSplit w:val="0"/>
          <w:trHeight w:val="240" w:hRule="atLeast"/>
          <w:tblHeader w:val="0"/>
        </w:trPr>
        <w:tc>
          <w:tcPr>
            <w:gridSpan w:val="4"/>
            <w:tcBorders>
              <w:top w:color="000000" w:space="0" w:sz="5" w:val="single"/>
              <w:left w:color="000000" w:space="0" w:sz="5" w:val="single"/>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73">
            <w:pPr>
              <w:widowControl w:val="0"/>
              <w:spacing w:after="0" w:before="240" w:line="276" w:lineRule="auto"/>
              <w:jc w:val="both"/>
              <w:rPr>
                <w:rFonts w:ascii="Arial" w:cs="Arial" w:eastAsia="Arial" w:hAnsi="Arial"/>
                <w:sz w:val="18"/>
                <w:szCs w:val="18"/>
              </w:rPr>
            </w:pPr>
            <w:r w:rsidDel="00000000" w:rsidR="00000000" w:rsidRPr="00000000">
              <w:rPr>
                <w:rFonts w:ascii="Times New Roman" w:cs="Times New Roman" w:eastAsia="Times New Roman" w:hAnsi="Times New Roman"/>
                <w:rtl w:val="0"/>
              </w:rPr>
              <w:t xml:space="preserve">ШКАЛА КРИТЕРІЇВ ОЦІНЮВАННЯ</w:t>
            </w:r>
            <w:r w:rsidDel="00000000" w:rsidR="00000000" w:rsidRPr="00000000">
              <w:rPr>
                <w:rtl w:val="0"/>
              </w:rPr>
            </w:r>
          </w:p>
        </w:tc>
      </w:tr>
      <w:tr>
        <w:trPr>
          <w:cantSplit w:val="0"/>
          <w:trHeight w:val="883.4326171875" w:hRule="atLeast"/>
          <w:tblHeader w:val="0"/>
        </w:trPr>
        <w:tc>
          <w:tcPr>
            <w:tcBorders>
              <w:top w:color="000000" w:space="0" w:sz="0" w:val="nil"/>
              <w:left w:color="000000" w:space="0" w:sz="5" w:val="single"/>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77">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78">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Критерій</w:t>
            </w:r>
          </w:p>
        </w:tc>
        <w:tc>
          <w:tcPr>
            <w:tcBorders>
              <w:top w:color="000000" w:space="0" w:sz="0" w:val="nil"/>
              <w:left w:color="000000" w:space="0" w:sz="0" w:val="nil"/>
              <w:bottom w:color="000000" w:space="0" w:sz="5" w:val="single"/>
              <w:right w:color="000000" w:space="0" w:sz="5" w:val="single"/>
            </w:tcBorders>
            <w:shd w:fill="dbe5f1" w:val="clear"/>
            <w:tcMar>
              <w:top w:w="0.0" w:type="dxa"/>
              <w:left w:w="100.0" w:type="dxa"/>
              <w:bottom w:w="0.0" w:type="dxa"/>
              <w:right w:w="100.0" w:type="dxa"/>
            </w:tcMar>
            <w:vAlign w:val="top"/>
          </w:tcPr>
          <w:p w:rsidR="00000000" w:rsidDel="00000000" w:rsidP="00000000" w:rsidRDefault="00000000" w:rsidRPr="00000000" w14:paraId="00000079">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МЕТОДОЛОГІЯ ОЦІНКИ</w:t>
            </w:r>
          </w:p>
        </w:tc>
        <w:tc>
          <w:tcPr>
            <w:tcBorders>
              <w:top w:color="000000" w:space="0" w:sz="0" w:val="nil"/>
              <w:left w:color="000000" w:space="0" w:sz="0" w:val="nil"/>
              <w:bottom w:color="000000" w:space="0" w:sz="5" w:val="single"/>
              <w:right w:color="000000" w:space="0" w:sz="5" w:val="single"/>
            </w:tcBorders>
            <w:shd w:fill="dbe5f1" w:val="clear"/>
            <w:tcMar>
              <w:top w:w="0.0" w:type="dxa"/>
              <w:left w:w="40.0" w:type="dxa"/>
              <w:bottom w:w="0.0" w:type="dxa"/>
              <w:right w:w="40.0" w:type="dxa"/>
            </w:tcMar>
            <w:vAlign w:val="top"/>
          </w:tcPr>
          <w:p w:rsidR="00000000" w:rsidDel="00000000" w:rsidP="00000000" w:rsidRDefault="00000000" w:rsidRPr="00000000" w14:paraId="0000007A">
            <w:pPr>
              <w:widowControl w:val="0"/>
              <w:spacing w:after="0" w:before="24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Максимальна кількість балів</w:t>
            </w:r>
          </w:p>
        </w:tc>
      </w:tr>
      <w:tr>
        <w:trPr>
          <w:cantSplit w:val="0"/>
          <w:trHeight w:val="28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7B">
            <w:pPr>
              <w:widowControl w:val="0"/>
              <w:spacing w:after="12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vAlign w:val="top"/>
          </w:tcPr>
          <w:p w:rsidR="00000000" w:rsidDel="00000000" w:rsidP="00000000" w:rsidRDefault="00000000" w:rsidRPr="00000000" w14:paraId="0000007C">
            <w:pPr>
              <w:widowControl w:val="0"/>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Деталізоване резюме консультанта, який надаватиме послуги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vAlign w:val="top"/>
          </w:tcPr>
          <w:p w:rsidR="00000000" w:rsidDel="00000000" w:rsidP="00000000" w:rsidRDefault="00000000" w:rsidRPr="00000000" w14:paraId="0000007D">
            <w:pPr>
              <w:widowControl w:val="0"/>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 балів: Кандидатом надано вичерпну інформацію щодо кваліфікації, освіти, досвіду, навичок, досягнень, розроблених методичних матеріалів та напрацювань за час набуття досвіду. Резюме актуалізоване та містить інформацію щонайменше за останні 5 років. Кандидат має понад 5 років досвіду у сфері працевлаштування або рекрутингу. Додано сертифікати, інші підтверджуючі документи.</w:t>
            </w:r>
          </w:p>
          <w:p w:rsidR="00000000" w:rsidDel="00000000" w:rsidP="00000000" w:rsidRDefault="00000000" w:rsidRPr="00000000" w14:paraId="0000007E">
            <w:pPr>
              <w:widowControl w:val="0"/>
              <w:spacing w:after="12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балів: Кандидатом надано узагальнену інформацію щодо кваліфікації, освіти, досвіду, опис навичок, досягнень, розроблених методичних матеріалів та напрацювань за час набуття досвіду надано без додаткової деталізації. Резюме актуалізоване та містить інформацію діяльності викладачів щонайменше за останні 5 років. Кандидат має до 5 років досвіду або суміжний досвід, який частково відповідає вимогам.</w:t>
            </w:r>
          </w:p>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 балів: Кандидатом надано інформацію щодо кваліфікації з відсутністю актуального досвіду за останні 5 років, або кандидатом не надано резюме, або досвід не є релевантним до сфери та завдань проєкту. Кандидат не має відповідного досвіду роботи</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80">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23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1">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82">
            <w:pPr>
              <w:widowControl w:val="0"/>
              <w:spacing w:after="12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Досвід роботи консультанта, який надаватиме послуги, з вразливими категоріями населення (ВПО, особи з інвалідністю тощо)</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балів: Кандидат має досвід роботи з вразливими категоріями населення понад 3 роки, розуміє специфіку їх потреб та викликів.</w:t>
            </w:r>
          </w:p>
          <w:p w:rsidR="00000000" w:rsidDel="00000000" w:rsidP="00000000" w:rsidRDefault="00000000" w:rsidRPr="00000000" w14:paraId="0000008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балів: Кандидат має досвід роботи з вразливими категоріями населення до 3 років, але розуміє специфіку їх потреб та викликів.</w:t>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0 балів: Кандидат не має досвіду роботи з вразливими категоріями населення.</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6">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rHeight w:val="2805"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7">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88">
            <w:pPr>
              <w:spacing w:after="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Досвід співпраці консультанта, який надаватиме послуги,  з неприбутковими організаціями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балів: Кандидат надіслав документи, які підтверджують досвід співпраці  з неприбутковими організаціями, понад 3 роки (договори, рекомендаційні листи тощо).</w:t>
            </w:r>
          </w:p>
          <w:p w:rsidR="00000000" w:rsidDel="00000000" w:rsidP="00000000" w:rsidRDefault="00000000" w:rsidRPr="00000000" w14:paraId="0000008A">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балів: Кандидат надіслав документи, які підтверджують досвід співпраці  з неприбутковими організаціями до 3 років (договори, рекомендаційні листи тощо).</w:t>
            </w:r>
          </w:p>
          <w:p w:rsidR="00000000" w:rsidDel="00000000" w:rsidP="00000000" w:rsidRDefault="00000000" w:rsidRPr="00000000" w14:paraId="0000008B">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0 балів: Кандидат зазначив про наявність досвіду співпраці з неприбутковими організаціями, але не надано жодних підтверджуючих документів, або кандидат не має досвіду співпраці з неприбутковими організаціями.</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C">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rHeight w:val="21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8D">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8E">
            <w:pPr>
              <w:spacing w:after="12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Відгуки клієнтів, щодо задоволеністю комунікацією та експертністю консультанта, який надаватиме послуги</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балів: Кандидат надав відгуки клієнтів. Відгуки містять конкретні дані про результати співдії з кандидатом, співдія є якісною та ефективною.</w:t>
            </w:r>
          </w:p>
          <w:p w:rsidR="00000000" w:rsidDel="00000000" w:rsidP="00000000" w:rsidRDefault="00000000" w:rsidRPr="00000000" w14:paraId="00000090">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балів: Кандидат надав загальні відгуки, які не містять конкретних даних щодо результатів або покращень, або вони є менш детальними.</w:t>
            </w:r>
          </w:p>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0 балів: Кандидат не надав відгуків.</w:t>
            </w: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92">
            <w:pPr>
              <w:widowControl w:val="0"/>
              <w:spacing w:after="12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w:t>
            </w:r>
          </w:p>
        </w:tc>
      </w:tr>
      <w:tr>
        <w:trPr>
          <w:cantSplit w:val="0"/>
          <w:trHeight w:val="2190" w:hRule="atLeast"/>
          <w:tblHeader w:val="0"/>
        </w:trPr>
        <w:tc>
          <w:tcPr>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93">
            <w:pPr>
              <w:widowControl w:val="0"/>
              <w:spacing w:after="12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w:t>
            </w:r>
          </w:p>
        </w:tc>
        <w:tc>
          <w:tcPr>
            <w:tcBorders>
              <w:top w:color="000000" w:space="0" w:sz="0" w:val="nil"/>
              <w:left w:color="000000" w:space="0" w:sz="0" w:val="nil"/>
              <w:bottom w:color="000000" w:space="0" w:sz="5" w:val="single"/>
              <w:right w:color="000000" w:space="0" w:sz="5" w:val="single"/>
            </w:tcBorders>
            <w:shd w:fill="ffffff" w:val="clear"/>
            <w:tcMar>
              <w:top w:w="0.0" w:type="dxa"/>
              <w:left w:w="40.0" w:type="dxa"/>
              <w:bottom w:w="0.0" w:type="dxa"/>
              <w:right w:w="40.0" w:type="dxa"/>
            </w:tcMar>
          </w:tcPr>
          <w:p w:rsidR="00000000" w:rsidDel="00000000" w:rsidP="00000000" w:rsidRDefault="00000000" w:rsidRPr="00000000" w14:paraId="00000094">
            <w:pPr>
              <w:spacing w:after="120" w:before="0" w:line="276"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Співбесіда</w:t>
            </w:r>
          </w:p>
        </w:tc>
        <w:tc>
          <w:tcPr>
            <w:tcBorders>
              <w:top w:color="000000" w:space="0" w:sz="0" w:val="nil"/>
              <w:left w:color="000000" w:space="0" w:sz="0" w:val="nil"/>
              <w:bottom w:color="000000" w:space="0" w:sz="5" w:val="single"/>
              <w:right w:color="000000" w:space="0" w:sz="5" w:val="single"/>
            </w:tcBorders>
            <w:shd w:fill="auto" w:val="clear"/>
            <w:tcMar>
              <w:top w:w="0.0" w:type="dxa"/>
              <w:left w:w="100.0" w:type="dxa"/>
              <w:bottom w:w="0.0" w:type="dxa"/>
              <w:right w:w="100.0" w:type="dxa"/>
            </w:tcMar>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b w:val="0"/>
                <w:bCs w:val="0"/>
                <w:sz w:val="22"/>
                <w:szCs w:val="22"/>
                <w:rtl w:val="0"/>
              </w:rPr>
              <w:t xml:space="preserve">20 балів: Кандидат вчасно долучився до зустрічі, добре ознайомлений із предметом тендерного оголошення, надає чіткі, структуровані та змістовні відповіді із прикладами. Демонструє повне розуміння контексту та завдань. Повністю розділяє цінності Фонду.</w:t>
            </w:r>
          </w:p>
          <w:p w:rsidR="00000000" w:rsidDel="00000000" w:rsidP="00000000" w:rsidRDefault="00000000" w:rsidRPr="00000000" w14:paraId="00000096">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b w:val="0"/>
                <w:bCs w:val="0"/>
                <w:sz w:val="22"/>
                <w:szCs w:val="22"/>
                <w:rtl w:val="0"/>
              </w:rPr>
              <w:t xml:space="preserve">15 балів: Кандидат долучився вчасно, ознайомлений із предметом тендерного оголошення на достатньому рівні, відповіді загалом змістовні, але менш чіткі або не завжди глибокі. Може не надавати достатньо прикладів або деталей. Загалом розділяє цінності Фонду, але не завжди виразно їх артикулює.</w:t>
            </w:r>
          </w:p>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b w:val="0"/>
                <w:bCs w:val="0"/>
                <w:sz w:val="22"/>
                <w:szCs w:val="22"/>
                <w:rtl w:val="0"/>
              </w:rPr>
              <w:t xml:space="preserve">10 балів: Кандидат долучився до зустрічі, поверхнево ознайомлений з предметом тендерного оголошення. Відповіді узагальнені, без конкретики та чітких формулювань. Лише частково розділяє цінності Фонду або не може їх чітко сформулювати.</w:t>
            </w:r>
          </w:p>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sz w:val="22"/>
                <w:szCs w:val="22"/>
              </w:rPr>
            </w:pPr>
            <w:r w:rsidDel="00000000" w:rsidR="00000000" w:rsidRPr="00000000">
              <w:rPr>
                <w:rFonts w:ascii="Times New Roman" w:cs="Times New Roman" w:eastAsia="Times New Roman" w:hAnsi="Times New Roman"/>
                <w:b w:val="0"/>
                <w:bCs w:val="0"/>
                <w:sz w:val="22"/>
                <w:szCs w:val="22"/>
                <w:rtl w:val="0"/>
              </w:rPr>
              <w:t xml:space="preserve">5 балів: Кандидат долучився до зустрічі, але майже не орієнтується в предметі тендерного оголошення. Відповіді неповні, нечіткі або не по суті. Не демонструє розуміння цінностей Фонду або не може вказати їх зв’язок із роботою.</w:t>
            </w:r>
          </w:p>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bCs w:val="0"/>
                <w:sz w:val="20"/>
                <w:szCs w:val="20"/>
              </w:rPr>
            </w:pPr>
            <w:r w:rsidDel="00000000" w:rsidR="00000000" w:rsidRPr="00000000">
              <w:rPr>
                <w:rFonts w:ascii="Times New Roman" w:cs="Times New Roman" w:eastAsia="Times New Roman" w:hAnsi="Times New Roman"/>
                <w:b w:val="0"/>
                <w:bCs w:val="0"/>
                <w:sz w:val="22"/>
                <w:szCs w:val="22"/>
                <w:rtl w:val="0"/>
              </w:rPr>
              <w:t xml:space="preserve">0 балів: Кандидат не долучився до зустрічі, або не володіє інформацією про предмет тендерного оголошення, або не може відповісти на питання по темі. Не демонструє жодної поінформованості чи відповідності цінностям Фонду.</w:t>
            </w:r>
            <w:r w:rsidDel="00000000" w:rsidR="00000000" w:rsidRPr="00000000">
              <w:rPr>
                <w:rtl w:val="0"/>
              </w:rPr>
            </w:r>
          </w:p>
          <w:p w:rsidR="00000000" w:rsidDel="00000000" w:rsidP="00000000" w:rsidRDefault="00000000" w:rsidRPr="00000000" w14:paraId="0000009A">
            <w:pPr>
              <w:spacing w:after="120" w:before="0" w:line="276" w:lineRule="auto"/>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tcPr>
          <w:p w:rsidR="00000000" w:rsidDel="00000000" w:rsidP="00000000" w:rsidRDefault="00000000" w:rsidRPr="00000000" w14:paraId="0000009B">
            <w:pPr>
              <w:widowControl w:val="0"/>
              <w:spacing w:after="120" w:before="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20</w:t>
            </w:r>
          </w:p>
        </w:tc>
      </w:tr>
      <w:tr>
        <w:trPr>
          <w:cantSplit w:val="0"/>
          <w:trHeight w:val="240" w:hRule="atLeast"/>
          <w:tblHeader w:val="0"/>
        </w:trPr>
        <w:tc>
          <w:tcPr>
            <w:gridSpan w:val="3"/>
            <w:tcBorders>
              <w:top w:color="000000" w:space="0" w:sz="0" w:val="nil"/>
              <w:left w:color="000000" w:space="0" w:sz="5" w:val="single"/>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9C">
            <w:pPr>
              <w:widowControl w:val="0"/>
              <w:spacing w:after="0" w:before="240" w:line="276"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Разом</w:t>
            </w:r>
          </w:p>
        </w:tc>
        <w:tc>
          <w:tcPr>
            <w:tcBorders>
              <w:top w:color="000000" w:space="0" w:sz="0" w:val="nil"/>
              <w:left w:color="000000" w:space="0" w:sz="0" w:val="nil"/>
              <w:bottom w:color="000000" w:space="0" w:sz="5" w:val="single"/>
              <w:right w:color="000000" w:space="0" w:sz="5" w:val="single"/>
            </w:tcBorders>
            <w:shd w:fill="auto" w:val="clear"/>
            <w:tcMar>
              <w:top w:w="0.0" w:type="dxa"/>
              <w:left w:w="40.0" w:type="dxa"/>
              <w:bottom w:w="0.0" w:type="dxa"/>
              <w:right w:w="40.0" w:type="dxa"/>
            </w:tcMar>
            <w:vAlign w:val="top"/>
          </w:tcPr>
          <w:p w:rsidR="00000000" w:rsidDel="00000000" w:rsidP="00000000" w:rsidRDefault="00000000" w:rsidRPr="00000000" w14:paraId="0000009F">
            <w:pPr>
              <w:widowControl w:val="0"/>
              <w:spacing w:after="0" w:before="240" w:line="276"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w:t>
            </w:r>
          </w:p>
        </w:tc>
      </w:tr>
    </w:tbl>
    <w:p w:rsidR="00000000" w:rsidDel="00000000" w:rsidP="00000000" w:rsidRDefault="00000000" w:rsidRPr="00000000" w14:paraId="000000A0">
      <w:pPr>
        <w:widowControl w:val="0"/>
        <w:spacing w:after="240" w:befor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 </w:t>
      </w:r>
      <w:r w:rsidDel="00000000" w:rsidR="00000000" w:rsidRPr="00000000">
        <w:rPr>
          <w:rtl w:val="0"/>
        </w:rPr>
      </w:r>
    </w:p>
    <w:sectPr>
      <w:headerReference r:id="rId8" w:type="default"/>
      <w:pgSz w:h="16838" w:w="11906" w:orient="portrait"/>
      <w:pgMar w:bottom="709" w:top="1740" w:left="1134" w:right="850" w:header="284"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center" w:leader="none" w:pos="4819"/>
        <w:tab w:val="right" w:leader="none" w:pos="9639"/>
      </w:tabs>
      <w:spacing w:after="0" w:line="240" w:lineRule="auto"/>
      <w:ind w:left="-709" w:firstLine="0"/>
      <w:rPr>
        <w:color w:val="000000"/>
      </w:rPr>
    </w:pPr>
    <w:r w:rsidDel="00000000" w:rsidR="00000000" w:rsidRPr="00000000">
      <w:rPr>
        <w:color w:val="000000"/>
        <w:rtl w:val="0"/>
      </w:rPr>
      <w:tab/>
      <w:t xml:space="preserve">          </w:t>
      <w:tab/>
    </w:r>
    <w:r w:rsidDel="00000000" w:rsidR="00000000" w:rsidRPr="00000000">
      <w:drawing>
        <wp:anchor allowOverlap="1" behindDoc="1" distB="0" distT="0" distL="0" distR="0" hidden="0" layoutInCell="1" locked="0" relativeHeight="0" simplePos="0">
          <wp:simplePos x="0" y="0"/>
          <wp:positionH relativeFrom="column">
            <wp:posOffset>-529570</wp:posOffset>
          </wp:positionH>
          <wp:positionV relativeFrom="paragraph">
            <wp:posOffset>-85069</wp:posOffset>
          </wp:positionV>
          <wp:extent cx="1771650" cy="890905"/>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771650" cy="89090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59"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e.shvets@r2p.org.ua"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istWigF/1tLOoaTUEzOrYgRYAA==">CgMxLjA4AHIhMVFTVTQtUVV2dWlMSTBIMkhUdEoxelVfWmpSN2JTcUtR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