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w:t>
      </w:r>
      <w:r w:rsidDel="00000000" w:rsidR="00000000" w:rsidRPr="00000000">
        <w:rPr>
          <w:rFonts w:ascii="Times New Roman" w:cs="Times New Roman" w:eastAsia="Times New Roman" w:hAnsi="Times New Roman"/>
          <w:sz w:val="20"/>
          <w:szCs w:val="20"/>
          <w:rtl w:val="0"/>
        </w:rPr>
        <w:t xml:space="preserve"> березня 2025 р.</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ind w:left="0" w:hanging="2"/>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40" w:lineRule="auto"/>
        <w:ind w:left="-141.73228346456688" w:right="-574.7244094488178"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line="240" w:lineRule="auto"/>
        <w:ind w:left="-141.73228346456688" w:right="-574.724409448817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ЗАПРОШЕННЯ  ДО УЧАСТІ В ТЕНДЕРІ № Q1-T247-RFP</w:t>
      </w:r>
      <w:r w:rsidDel="00000000" w:rsidR="00000000" w:rsidRPr="00000000">
        <w:rPr>
          <w:rtl w:val="0"/>
        </w:rPr>
      </w:r>
    </w:p>
    <w:p w:rsidR="00000000" w:rsidDel="00000000" w:rsidP="00000000" w:rsidRDefault="00000000" w:rsidRPr="00000000" w14:paraId="00000005">
      <w:pPr>
        <w:widowControl w:val="0"/>
        <w:spacing w:after="200" w:line="259" w:lineRule="auto"/>
        <w:ind w:left="-141.73228346456688" w:right="-574.7244094488178" w:firstLine="0"/>
        <w:jc w:val="center"/>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для закупівлі послуги онлайн-тренінгу за темою: </w:t>
        <w:br w:type="textWrapping"/>
        <w:t xml:space="preserve">ВПІЗНАВАНІСТЬ ТА КОМУНІКАЦІЯ: ЯК ЕФЕКТИВНО ПРЕЗЕНТУВАТИ ВАШУ ОРГАНІЗАЦІЮ?</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0"/>
          <w:szCs w:val="20"/>
          <w:u w:val="single"/>
          <w:rtl w:val="0"/>
        </w:rPr>
        <w:t xml:space="preserve">ДЕДЛАЙН: 28.03.2025. -14:00 за Київським часом.</w:t>
      </w: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sz w:val="20"/>
          <w:szCs w:val="20"/>
          <w:rtl w:val="0"/>
        </w:rPr>
        <w:t xml:space="preserve">Коротко про «Право на захист»: </w:t>
      </w:r>
      <w:r w:rsidDel="00000000" w:rsidR="00000000" w:rsidRPr="00000000">
        <w:rPr>
          <w:rFonts w:ascii="Times New Roman" w:cs="Times New Roman" w:eastAsia="Times New Roman" w:hAnsi="Times New Roman"/>
          <w:sz w:val="20"/>
          <w:szCs w:val="20"/>
          <w:rtl w:val="0"/>
        </w:rPr>
        <w:t xml:space="preserve">Благодійна організація «Благодійний фонд «Право на захист» – українська благодійна організація, діяльність якої спрямована на захист і дотримання прав людини вразливих груп населення: біженців, вимушених переселенців, осіб без громадянства та осіб під ризиком без громадянства і без документів. Докладна інформація про діяльність БФ «Право на захист» надана на веб-сайті http://r2p.org.ua.</w:t>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b w:val="1"/>
          <w:sz w:val="24"/>
          <w:szCs w:val="24"/>
          <w:vertAlign w:val="baseline"/>
        </w:rPr>
      </w:pPr>
      <w:r w:rsidDel="00000000" w:rsidR="00000000" w:rsidRPr="00000000">
        <w:rPr>
          <w:rFonts w:ascii="Times New Roman" w:cs="Times New Roman" w:eastAsia="Times New Roman" w:hAnsi="Times New Roman"/>
          <w:sz w:val="20"/>
          <w:szCs w:val="20"/>
          <w:rtl w:val="0"/>
        </w:rPr>
        <w:t xml:space="preserve">Потреби: Благодійна Організація БФ «Право на Захист» запрошує Вас до участі в тендері </w:t>
      </w:r>
      <w:r w:rsidDel="00000000" w:rsidR="00000000" w:rsidRPr="00000000">
        <w:rPr>
          <w:rFonts w:ascii="Times New Roman" w:cs="Times New Roman" w:eastAsia="Times New Roman" w:hAnsi="Times New Roman"/>
          <w:b w:val="1"/>
          <w:rtl w:val="0"/>
        </w:rPr>
        <w:t xml:space="preserve">для онлайн-тренінгу за темою: ВПІЗНАВАНІСТЬ ТА КОМУНІКАЦІЯ: ЯК ЕФЕКТИВНО ПРЕЗЕНТУВАТИ ВАШУ ОРГАНІЗАЦІЮ?</w:t>
      </w: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ind w:left="0" w:firstLine="0"/>
        <w:jc w:val="both"/>
        <w:rPr>
          <w:rFonts w:ascii="Times New Roman" w:cs="Times New Roman" w:eastAsia="Times New Roman" w:hAnsi="Times New Roman"/>
          <w:color w:val="000099"/>
          <w:sz w:val="20"/>
          <w:szCs w:val="20"/>
        </w:rPr>
      </w:pPr>
      <w:r w:rsidDel="00000000" w:rsidR="00000000" w:rsidRPr="00000000">
        <w:rPr>
          <w:rFonts w:ascii="Times New Roman" w:cs="Times New Roman" w:eastAsia="Times New Roman" w:hAnsi="Times New Roman"/>
          <w:b w:val="1"/>
          <w:color w:val="000099"/>
          <w:sz w:val="20"/>
          <w:szCs w:val="20"/>
          <w:u w:val="single"/>
          <w:rtl w:val="0"/>
        </w:rPr>
        <w:t xml:space="preserve">Детальне ТЗ додається окремим файлом до цього листа і є його невід’ємною частиною</w:t>
      </w:r>
      <w:r w:rsidDel="00000000" w:rsidR="00000000" w:rsidRPr="00000000">
        <w:rPr>
          <w:rFonts w:ascii="Times New Roman" w:cs="Times New Roman" w:eastAsia="Times New Roman" w:hAnsi="Times New Roman"/>
          <w:b w:val="1"/>
          <w:color w:val="000099"/>
          <w:sz w:val="20"/>
          <w:szCs w:val="20"/>
          <w:rtl w:val="0"/>
        </w:rPr>
        <w:t xml:space="preserve">. </w:t>
      </w: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0"/>
          <w:szCs w:val="20"/>
          <w:u w:val="single"/>
          <w:rtl w:val="0"/>
        </w:rPr>
        <w:t xml:space="preserve">Зміст пропозиції:</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i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Просимо направити пропозицію, яка включає:</w:t>
      </w: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технічну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перелік документів і інформації, які необхідно надати, ви можете знайти в файлі «Технічне Завдання».</w:t>
      </w: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sz w:val="20"/>
          <w:szCs w:val="20"/>
          <w:u w:val="single"/>
          <w:rtl w:val="0"/>
        </w:rPr>
        <w:t xml:space="preserve">фінансову складову</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i w:val="1"/>
          <w:sz w:val="20"/>
          <w:szCs w:val="20"/>
          <w:rtl w:val="0"/>
        </w:rPr>
        <w:t xml:space="preserve">у вигляді </w:t>
      </w:r>
      <w:r w:rsidDel="00000000" w:rsidR="00000000" w:rsidRPr="00000000">
        <w:rPr>
          <w:rFonts w:ascii="Times New Roman" w:cs="Times New Roman" w:eastAsia="Times New Roman" w:hAnsi="Times New Roman"/>
          <w:b w:val="1"/>
          <w:i w:val="1"/>
          <w:sz w:val="20"/>
          <w:szCs w:val="20"/>
          <w:u w:val="single"/>
          <w:rtl w:val="0"/>
        </w:rPr>
        <w:t xml:space="preserve">заповненої форми фінансової пропозиції</w:t>
      </w:r>
      <w:r w:rsidDel="00000000" w:rsidR="00000000" w:rsidRPr="00000000">
        <w:rPr>
          <w:rFonts w:ascii="Times New Roman" w:cs="Times New Roman" w:eastAsia="Times New Roman" w:hAnsi="Times New Roman"/>
          <w:b w:val="1"/>
          <w:i w:val="1"/>
          <w:sz w:val="20"/>
          <w:szCs w:val="20"/>
          <w:rtl w:val="0"/>
        </w:rPr>
        <w:t xml:space="preserve">, яка є невід’ємною частиною даного запиту.</w:t>
      </w:r>
      <w:r w:rsidDel="00000000" w:rsidR="00000000" w:rsidRPr="00000000">
        <w:rPr>
          <w:rFonts w:ascii="Times New Roman" w:cs="Times New Roman" w:eastAsia="Times New Roman" w:hAnsi="Times New Roman"/>
          <w:sz w:val="20"/>
          <w:szCs w:val="20"/>
          <w:rtl w:val="0"/>
        </w:rPr>
        <w:t xml:space="preserve"> Подається у гривнях з урахуванням всіх додаткових витрат і податків</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З питань </w:t>
      </w:r>
      <w:r w:rsidDel="00000000" w:rsidR="00000000" w:rsidRPr="00000000">
        <w:rPr>
          <w:rFonts w:ascii="Times New Roman" w:cs="Times New Roman" w:eastAsia="Times New Roman" w:hAnsi="Times New Roman"/>
          <w:b w:val="1"/>
          <w:sz w:val="20"/>
          <w:szCs w:val="20"/>
          <w:u w:val="single"/>
          <w:rtl w:val="0"/>
        </w:rPr>
        <w:t xml:space="preserve">подання пропозицій</w:t>
      </w:r>
      <w:r w:rsidDel="00000000" w:rsidR="00000000" w:rsidRPr="00000000">
        <w:rPr>
          <w:rFonts w:ascii="Times New Roman" w:cs="Times New Roman" w:eastAsia="Times New Roman" w:hAnsi="Times New Roman"/>
          <w:sz w:val="20"/>
          <w:szCs w:val="20"/>
          <w:rtl w:val="0"/>
        </w:rPr>
        <w:t xml:space="preserve"> звертайтеся, будь ласка, до Марії Терлецької: m.terletska@r2p.org.ua</w:t>
        <w:br w:type="textWrapping"/>
        <w:t xml:space="preserve">Для уточнень </w:t>
      </w:r>
      <w:r w:rsidDel="00000000" w:rsidR="00000000" w:rsidRPr="00000000">
        <w:rPr>
          <w:rFonts w:ascii="Times New Roman" w:cs="Times New Roman" w:eastAsia="Times New Roman" w:hAnsi="Times New Roman"/>
          <w:b w:val="1"/>
          <w:sz w:val="20"/>
          <w:szCs w:val="20"/>
          <w:u w:val="single"/>
          <w:rtl w:val="0"/>
        </w:rPr>
        <w:t xml:space="preserve">щодо ТЗ</w:t>
      </w:r>
      <w:r w:rsidDel="00000000" w:rsidR="00000000" w:rsidRPr="00000000">
        <w:rPr>
          <w:rFonts w:ascii="Times New Roman" w:cs="Times New Roman" w:eastAsia="Times New Roman" w:hAnsi="Times New Roman"/>
          <w:sz w:val="20"/>
          <w:szCs w:val="20"/>
          <w:rtl w:val="0"/>
        </w:rPr>
        <w:t xml:space="preserve"> ви можете звертатись до Сергія Березинського s.berezynskyi@r2p.org.ua </w:t>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br w:type="textWrapping"/>
      </w:r>
      <w:r w:rsidDel="00000000" w:rsidR="00000000" w:rsidRPr="00000000">
        <w:rPr>
          <w:rFonts w:ascii="Times New Roman" w:cs="Times New Roman" w:eastAsia="Times New Roman" w:hAnsi="Times New Roman"/>
          <w:b w:val="1"/>
          <w:sz w:val="20"/>
          <w:szCs w:val="20"/>
          <w:u w:val="single"/>
          <w:rtl w:val="0"/>
        </w:rPr>
        <w:t xml:space="preserve">Оцінка пропозицій:</w:t>
        <w:br w:type="textWrapping"/>
      </w:r>
      <w:r w:rsidDel="00000000" w:rsidR="00000000" w:rsidRPr="00000000">
        <w:rPr>
          <w:rFonts w:ascii="Times New Roman" w:cs="Times New Roman" w:eastAsia="Times New Roman" w:hAnsi="Times New Roman"/>
          <w:sz w:val="20"/>
          <w:szCs w:val="20"/>
          <w:rtl w:val="0"/>
        </w:rPr>
        <w:t xml:space="preserve">1. Технічна оцінка за критеріями (детальний опис критеріїв та спосіб оцінки наведений наведені в файлі «Технічне завдання»). Для подальшої оцінки пройдуть лише пропозиції, які наберуть мінімальний прохідний бал за технічну пропозицію, що становить </w:t>
      </w:r>
      <w:r w:rsidDel="00000000" w:rsidR="00000000" w:rsidRPr="00000000">
        <w:rPr>
          <w:rFonts w:ascii="Times New Roman" w:cs="Times New Roman" w:eastAsia="Times New Roman" w:hAnsi="Times New Roman"/>
          <w:rtl w:val="0"/>
        </w:rPr>
        <w:t xml:space="preserve">40</w:t>
      </w:r>
      <w:r w:rsidDel="00000000" w:rsidR="00000000" w:rsidRPr="00000000">
        <w:rPr>
          <w:rFonts w:ascii="Times New Roman" w:cs="Times New Roman" w:eastAsia="Times New Roman" w:hAnsi="Times New Roman"/>
          <w:sz w:val="20"/>
          <w:szCs w:val="20"/>
          <w:rtl w:val="0"/>
        </w:rPr>
        <w:t xml:space="preserve"> балів.</w:t>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Оцінка фінансових пропозицій: розраховується за принципом «чим менша ціна, тим вищий бал» за формулою: (найменша цінова пропозиція)/(оцінювана цінова пропозиція)*30</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Порівняння загальної кількості набраних балів кожного учасника, вибір переможця за найвищою кількістю балів.</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Технічна складова детальної пропозиції може отримати максимально 70 балів, фінансова – 30 балів.</w:t>
      </w: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b w:val="1"/>
          <w:color w:val="0000cc"/>
          <w:sz w:val="24"/>
          <w:szCs w:val="24"/>
          <w:rtl w:val="0"/>
        </w:rPr>
        <w:t xml:space="preserve">Просимо надіслати Вашу пропозицію не пізніше </w:t>
      </w:r>
      <w:r w:rsidDel="00000000" w:rsidR="00000000" w:rsidRPr="00000000">
        <w:rPr>
          <w:rFonts w:ascii="Times New Roman" w:cs="Times New Roman" w:eastAsia="Times New Roman" w:hAnsi="Times New Roman"/>
          <w:b w:val="1"/>
          <w:color w:val="0000cc"/>
          <w:sz w:val="24"/>
          <w:szCs w:val="24"/>
          <w:u w:val="single"/>
          <w:rtl w:val="0"/>
        </w:rPr>
        <w:t xml:space="preserve">14:00, 28 березня 2025 року</w:t>
      </w:r>
      <w:r w:rsidDel="00000000" w:rsidR="00000000" w:rsidRPr="00000000">
        <w:rPr>
          <w:rFonts w:ascii="Times New Roman" w:cs="Times New Roman" w:eastAsia="Times New Roman" w:hAnsi="Times New Roman"/>
          <w:b w:val="1"/>
          <w:color w:val="0000cc"/>
          <w:sz w:val="24"/>
          <w:szCs w:val="24"/>
          <w:rtl w:val="0"/>
        </w:rPr>
        <w:t xml:space="preserve"> на електронну адресу</w:t>
      </w:r>
      <w:r w:rsidDel="00000000" w:rsidR="00000000" w:rsidRPr="00000000">
        <w:rPr>
          <w:rFonts w:ascii="Times New Roman" w:cs="Times New Roman" w:eastAsia="Times New Roman" w:hAnsi="Times New Roman"/>
          <w:b w:val="1"/>
          <w:color w:val="0000ff"/>
          <w:sz w:val="24"/>
          <w:szCs w:val="24"/>
          <w:rtl w:val="0"/>
        </w:rPr>
        <w:t xml:space="preserve"> </w:t>
      </w:r>
      <w:hyperlink r:id="rId7">
        <w:r w:rsidDel="00000000" w:rsidR="00000000" w:rsidRPr="00000000">
          <w:rPr>
            <w:rFonts w:ascii="Times New Roman" w:cs="Times New Roman" w:eastAsia="Times New Roman" w:hAnsi="Times New Roman"/>
            <w:b w:val="1"/>
            <w:color w:val="ff0000"/>
            <w:sz w:val="24"/>
            <w:szCs w:val="24"/>
            <w:u w:val="single"/>
            <w:rtl w:val="0"/>
          </w:rPr>
          <w:t xml:space="preserve">tender@r2p.org.ua</w:t>
        </w:r>
      </w:hyperlink>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*Зверніть увагу, що при відправці на іншу електронну адресу пропозиція не буде допущена до участі в тендері.</w:t>
      </w:r>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ind w:left="0" w:hanging="2"/>
        <w:rPr>
          <w:rFonts w:ascii="Times New Roman" w:cs="Times New Roman" w:eastAsia="Times New Roman" w:hAnsi="Times New Roman"/>
          <w:color w:val="ff0000"/>
          <w:sz w:val="20"/>
          <w:szCs w:val="20"/>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Ваша пропозиція розглядатиметься протягом </w:t>
      </w: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sz w:val="20"/>
          <w:szCs w:val="20"/>
          <w:rtl w:val="0"/>
        </w:rPr>
        <w:t xml:space="preserve"> днів після завершення збору пропозицій, про результати буде повідомлено окремо.</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З повагою,</w:t>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Президент БФ «Право на Захист»</w:t>
        <w:tab/>
        <w:tab/>
        <w:tab/>
        <w:tab/>
        <w:tab/>
        <w:tab/>
        <w:tab/>
        <w:t xml:space="preserve">        Галкін О.Ю</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40" w:lineRule="auto"/>
        <w:ind w:left="0" w:hanging="2"/>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може на власний розгляд продовжити термін подання тендерних пропозицій, повідомивши про це можливих учасників тендеру одночасно. Продовження терміну може супроводжувати внесення змін у документи про запрошення до участі у тендері, підготовлені БФ «Право на захист» за його власною ініціативою чи у відповідь на запит щодо роз’яснення, надісланий можливим постачальником.</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Зважаючи на те, що Замовник є імплементуючим партнером агенції Організації об’єднаних націй – УВКБ ООН, та ООН вимагає від всіх постачальників ООН та постачальників партнерських організацій керуватися високими етичними принципами й моральними нормами, Постачальник приймає на себе зобов’язання дотримуватися Кодексу поведінки постачальника ООН (укр. мовою наведений за посиланням - https://www.unhcr.org/ua/wp-content/uploads/sites/38/2023/04/%D0%94%D0%BE%D0%B4%D0%B0%D1%82%D0%BE%D0%BA-E-%D0%9A%D0%BE%D0%B4%D0%B5%D0%BA%D1%81-%D0%BF%D0%BE%D0%B2%D0%B5%D0%B4%D1%96%D0%BD%D0%BA%D0%B8-%D0%BF%D0%BE%D1%81%D1%82%D0%B0%D1%87%D0%B0%D0%BB%D1%8C%D0%BD%D0%B8%D0%BA%D1%96%D0%B2-%D0%9E%D0%9E%D0%9D.pdf</w:t>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14"/>
          <w:szCs w:val="14"/>
        </w:rPr>
      </w:pPr>
      <w:r w:rsidDel="00000000" w:rsidR="00000000" w:rsidRPr="00000000">
        <w:rPr>
          <w:rFonts w:ascii="Times New Roman" w:cs="Times New Roman" w:eastAsia="Times New Roman" w:hAnsi="Times New Roman"/>
          <w:sz w:val="14"/>
          <w:szCs w:val="14"/>
          <w:rtl w:val="0"/>
        </w:rPr>
        <w:t xml:space="preserve">«БФ «Право на Захист» докладає зусиль із запобігання, виявлення та вжиття заходів проти всіх випадків шахрайства та зловживань. Конфіденційна гаряча лінія по боротьбі з шахрайством та зловживаннями доступна для всіх учасників конкурсних торгів, про підозрілі та шахрайські дії має бути повідомлено на пошту: complaint@r2p.org.ua або за тел: +380 99 217 58 95 «гаряча лінія» для скарг БФ «Право на Захист» реалізує політику нульової толерантності щодо подарунків та знаків вдячності. Таким чином, закликаємо постачальників не надсилати дарунки або проявляти інші знаки вдячності співробітникам Фонду. Учасники торгів, які вважають, що при процесі подання, оцінки пропозицій або присудження контракту, представники Фонду вчиняли дискримінаційні порушення, факти шахрайства, недоброчесні дії, мали місце факти зловживань, можуть подати скаргу на електронну пошту: complaint@r2p.org.ua або за тел: +380 99 217 58 95 «гаряча лінія» для скарг.</w:t>
      </w:r>
    </w:p>
    <w:sectPr>
      <w:headerReference r:id="rId8" w:type="default"/>
      <w:pgSz w:h="16838" w:w="11906" w:orient="portrait"/>
      <w:pgMar w:bottom="567" w:top="851" w:left="1134"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844"/>
        <w:tab w:val="right" w:leader="none" w:pos="9689"/>
      </w:tabs>
      <w:spacing w:after="160" w:line="259" w:lineRule="auto"/>
      <w:ind w:left="0" w:hanging="2"/>
      <w:rPr>
        <w:rFonts w:ascii="Calibri" w:cs="Calibri" w:eastAsia="Calibri" w:hAnsi="Calibri"/>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-713102</wp:posOffset>
          </wp:positionH>
          <wp:positionV relativeFrom="paragraph">
            <wp:posOffset>34290</wp:posOffset>
          </wp:positionV>
          <wp:extent cx="1521460" cy="764540"/>
          <wp:effectExtent b="0" l="0" r="0" t="0"/>
          <wp:wrapNone/>
          <wp:docPr id="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521460" cy="7645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RU"/>
      </w:rPr>
    </w:rPrDefault>
    <w:pPrDefault>
      <w:pPr>
        <w:spacing w:line="276" w:lineRule="auto"/>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259" w:lineRule="auto"/>
    </w:pPr>
    <w:rPr>
      <w:rFonts w:ascii="Cambria" w:cs="Cambria" w:eastAsia="Cambria" w:hAnsi="Cambria"/>
      <w:b w:val="1"/>
      <w:sz w:val="32"/>
      <w:szCs w:val="32"/>
    </w:rPr>
  </w:style>
  <w:style w:type="paragraph" w:styleId="Heading2">
    <w:name w:val="heading 2"/>
    <w:basedOn w:val="Normal"/>
    <w:next w:val="Normal"/>
    <w:pPr>
      <w:keepNext w:val="1"/>
      <w:keepLines w:val="1"/>
      <w:spacing w:before="40" w:line="259" w:lineRule="auto"/>
    </w:pPr>
    <w:rPr>
      <w:rFonts w:ascii="Calibri" w:cs="Calibri" w:eastAsia="Calibri" w:hAnsi="Calibri"/>
      <w:color w:val="2e74b5"/>
      <w:sz w:val="26"/>
      <w:szCs w:val="26"/>
    </w:rPr>
  </w:style>
  <w:style w:type="paragraph" w:styleId="Heading3">
    <w:name w:val="heading 3"/>
    <w:basedOn w:val="Normal"/>
    <w:next w:val="Normal"/>
    <w:pPr>
      <w:keepNext w:val="1"/>
      <w:spacing w:after="60" w:before="240" w:line="259" w:lineRule="auto"/>
    </w:pPr>
    <w:rPr>
      <w:rFonts w:ascii="Calibri" w:cs="Calibri" w:eastAsia="Calibri" w:hAnsi="Calibri"/>
      <w:b w:val="1"/>
      <w:sz w:val="26"/>
      <w:szCs w:val="26"/>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pPr>
      <w:suppressAutoHyphens w:val="1"/>
      <w:spacing w:line="276" w:lineRule="auto"/>
      <w:ind w:left="-1" w:leftChars="-1" w:hanging="1" w:hangingChars="1"/>
      <w:textDirection w:val="btLr"/>
      <w:textAlignment w:val="top"/>
      <w:outlineLvl w:val="0"/>
    </w:pPr>
    <w:rPr>
      <w:rFonts w:ascii="Arial" w:cs="Arial" w:eastAsia="Times New Roman" w:hAnsi="Arial"/>
      <w:color w:val="000000"/>
      <w:position w:val="-1"/>
      <w:sz w:val="22"/>
      <w:lang w:eastAsia="ru-RU" w:val="ru-RU"/>
    </w:rPr>
  </w:style>
  <w:style w:type="paragraph" w:styleId="1">
    <w:name w:val="heading 1"/>
    <w:basedOn w:val="a"/>
    <w:next w:val="a"/>
    <w:uiPriority w:val="9"/>
    <w:qFormat w:val="1"/>
    <w:pPr>
      <w:keepNext w:val="1"/>
      <w:spacing w:after="60" w:before="240" w:line="259" w:lineRule="auto"/>
    </w:pPr>
    <w:rPr>
      <w:rFonts w:ascii="Cambria" w:cs="Times New Roman" w:hAnsi="Cambria"/>
      <w:b w:val="1"/>
      <w:bCs w:val="1"/>
      <w:kern w:val="32"/>
      <w:sz w:val="32"/>
      <w:szCs w:val="32"/>
      <w:lang w:eastAsia="en-US"/>
    </w:rPr>
  </w:style>
  <w:style w:type="paragraph" w:styleId="2">
    <w:name w:val="heading 2"/>
    <w:basedOn w:val="a"/>
    <w:next w:val="a"/>
    <w:uiPriority w:val="9"/>
    <w:semiHidden w:val="1"/>
    <w:unhideWhenUsed w:val="1"/>
    <w:qFormat w:val="1"/>
    <w:pPr>
      <w:keepNext w:val="1"/>
      <w:keepLines w:val="1"/>
      <w:spacing w:before="40" w:line="259" w:lineRule="auto"/>
      <w:outlineLvl w:val="1"/>
    </w:pPr>
    <w:rPr>
      <w:rFonts w:ascii="Calibri Light" w:eastAsia="Calibri" w:hAnsi="Calibri Light"/>
      <w:color w:val="2e74b5"/>
      <w:sz w:val="26"/>
      <w:szCs w:val="26"/>
    </w:rPr>
  </w:style>
  <w:style w:type="paragraph" w:styleId="3">
    <w:name w:val="heading 3"/>
    <w:basedOn w:val="a"/>
    <w:next w:val="a"/>
    <w:uiPriority w:val="9"/>
    <w:semiHidden w:val="1"/>
    <w:unhideWhenUsed w:val="1"/>
    <w:qFormat w:val="1"/>
    <w:pPr>
      <w:keepNext w:val="1"/>
      <w:spacing w:after="60" w:before="240" w:line="259" w:lineRule="auto"/>
      <w:outlineLvl w:val="2"/>
    </w:pPr>
    <w:rPr>
      <w:rFonts w:ascii="Calibri Light" w:cs="Times New Roman" w:hAnsi="Calibri Light"/>
      <w:b w:val="1"/>
      <w:bCs w:val="1"/>
      <w:sz w:val="26"/>
      <w:szCs w:val="26"/>
      <w:lang w:eastAsia="en-US"/>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a4">
    <w:name w:val="Table Grid"/>
    <w:basedOn w:val="a1"/>
    <w:pPr>
      <w:suppressAutoHyphens w:val="1"/>
      <w:spacing w:line="1" w:lineRule="atLeast"/>
      <w:ind w:left="-1" w:leftChars="-1" w:hanging="1" w:hangingChars="1"/>
      <w:textDirection w:val="btLr"/>
      <w:textAlignment w:val="top"/>
      <w:outlineLvl w:val="0"/>
    </w:pPr>
    <w:rPr>
      <w:position w:val="-1"/>
      <w:lang w:eastAsia="ru-RU" w:val="ru-RU"/>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20" w:customStyle="1">
    <w:name w:val="Заголовок 2 Знак"/>
    <w:rPr>
      <w:rFonts w:ascii="Calibri Light" w:cs="Times New Roman" w:hAnsi="Calibri Light"/>
      <w:color w:val="2e74b5"/>
      <w:w w:val="100"/>
      <w:position w:val="-1"/>
      <w:sz w:val="26"/>
      <w:szCs w:val="26"/>
      <w:effect w:val="none"/>
      <w:vertAlign w:val="baseline"/>
      <w:cs w:val="0"/>
      <w:em w:val="none"/>
    </w:rPr>
  </w:style>
  <w:style w:type="paragraph" w:styleId="a5">
    <w:name w:val="Balloon Text"/>
    <w:basedOn w:val="a"/>
    <w:pPr>
      <w:spacing w:line="240" w:lineRule="auto"/>
    </w:pPr>
    <w:rPr>
      <w:rFonts w:ascii="Segoe UI" w:eastAsia="Calibri" w:hAnsi="Segoe UI"/>
      <w:sz w:val="18"/>
      <w:szCs w:val="18"/>
    </w:rPr>
  </w:style>
  <w:style w:type="character" w:styleId="a6" w:customStyle="1">
    <w:name w:val="Текст у виносці Знак"/>
    <w:rPr>
      <w:rFonts w:ascii="Segoe UI" w:cs="Segoe UI" w:hAnsi="Segoe UI"/>
      <w:w w:val="100"/>
      <w:position w:val="-1"/>
      <w:sz w:val="18"/>
      <w:szCs w:val="18"/>
      <w:effect w:val="none"/>
      <w:vertAlign w:val="baseline"/>
      <w:cs w:val="0"/>
      <w:em w:val="none"/>
    </w:rPr>
  </w:style>
  <w:style w:type="paragraph" w:styleId="a7">
    <w:name w:val="List Paragraph"/>
    <w:basedOn w:val="a"/>
    <w:pPr>
      <w:spacing w:after="200"/>
      <w:ind w:left="720"/>
      <w:contextualSpacing w:val="1"/>
    </w:pPr>
    <w:rPr>
      <w:rFonts w:ascii="Calibri" w:cs="Times New Roman" w:eastAsia="Calibri" w:hAnsi="Calibri"/>
      <w:szCs w:val="22"/>
      <w:lang w:eastAsia="en-US" w:val="uk-UA"/>
    </w:rPr>
  </w:style>
  <w:style w:type="character" w:styleId="a8">
    <w:name w:val="Strong"/>
    <w:rPr>
      <w:b w:val="1"/>
      <w:bCs w:val="1"/>
      <w:w w:val="100"/>
      <w:position w:val="-1"/>
      <w:effect w:val="none"/>
      <w:vertAlign w:val="baseline"/>
      <w:cs w:val="0"/>
      <w:em w:val="none"/>
    </w:rPr>
  </w:style>
  <w:style w:type="character" w:styleId="apple-converted-space" w:customStyle="1">
    <w:name w:val="apple-converted-space"/>
    <w:basedOn w:val="a0"/>
    <w:rPr>
      <w:w w:val="100"/>
      <w:position w:val="-1"/>
      <w:effect w:val="none"/>
      <w:vertAlign w:val="baseline"/>
      <w:cs w:val="0"/>
      <w:em w:val="none"/>
    </w:rPr>
  </w:style>
  <w:style w:type="character" w:styleId="a9">
    <w:name w:val="Hyperlink"/>
    <w:qFormat w:val="1"/>
    <w:rPr>
      <w:color w:val="0000ff"/>
      <w:w w:val="100"/>
      <w:position w:val="-1"/>
      <w:u w:val="single"/>
      <w:effect w:val="none"/>
      <w:vertAlign w:val="baseline"/>
      <w:cs w:val="0"/>
      <w:em w:val="none"/>
    </w:rPr>
  </w:style>
  <w:style w:type="character" w:styleId="10" w:customStyle="1">
    <w:name w:val="Заголовок 1 Знак"/>
    <w:rPr>
      <w:rFonts w:ascii="Cambria" w:cs="Times New Roman" w:eastAsia="Times New Roman" w:hAnsi="Cambria"/>
      <w:b w:val="1"/>
      <w:bCs w:val="1"/>
      <w:w w:val="100"/>
      <w:kern w:val="32"/>
      <w:position w:val="-1"/>
      <w:sz w:val="32"/>
      <w:szCs w:val="32"/>
      <w:effect w:val="none"/>
      <w:vertAlign w:val="baseline"/>
      <w:cs w:val="0"/>
      <w:em w:val="none"/>
      <w:lang w:eastAsia="en-US"/>
    </w:rPr>
  </w:style>
  <w:style w:type="paragraph" w:styleId="HTML">
    <w:name w:val="HTML Preformatted"/>
    <w:basedOn w:val="a"/>
    <w:qFormat w:val="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cs="Courier New" w:hAnsi="Courier New"/>
      <w:sz w:val="20"/>
    </w:rPr>
  </w:style>
  <w:style w:type="character" w:styleId="HTML0" w:customStyle="1">
    <w:name w:val="Стандартний HTML Знак"/>
    <w:rPr>
      <w:rFonts w:ascii="Courier New" w:cs="Courier New" w:eastAsia="Times New Roman" w:hAnsi="Courier New"/>
      <w:w w:val="100"/>
      <w:position w:val="-1"/>
      <w:effect w:val="none"/>
      <w:vertAlign w:val="baseline"/>
      <w:cs w:val="0"/>
      <w:em w:val="none"/>
    </w:rPr>
  </w:style>
  <w:style w:type="paragraph" w:styleId="CharChar" w:customStyle="1">
    <w:name w:val="Char Знак Знак Char Знак Знак Знак Знак Знак Знак Знак Знак Знак Знак Знак Знак Знак"/>
    <w:basedOn w:val="a"/>
    <w:pPr>
      <w:spacing w:line="240" w:lineRule="auto"/>
    </w:pPr>
    <w:rPr>
      <w:rFonts w:ascii="Verdana" w:hAnsi="Verdana"/>
      <w:sz w:val="20"/>
      <w:lang w:eastAsia="en-US" w:val="en-US"/>
    </w:rPr>
  </w:style>
  <w:style w:type="character" w:styleId="grame" w:customStyle="1">
    <w:name w:val="grame"/>
    <w:rPr>
      <w:w w:val="100"/>
      <w:position w:val="-1"/>
      <w:effect w:val="none"/>
      <w:vertAlign w:val="baseline"/>
      <w:cs w:val="0"/>
      <w:em w:val="none"/>
    </w:rPr>
  </w:style>
  <w:style w:type="paragraph" w:styleId="aa">
    <w:name w:val="Normal (Web)"/>
    <w:basedOn w:val="a"/>
    <w:uiPriority w:val="99"/>
    <w:qFormat w:val="1"/>
    <w:pPr>
      <w:spacing w:after="100" w:afterAutospacing="1" w:before="100" w:beforeAutospacing="1" w:line="240" w:lineRule="auto"/>
    </w:pPr>
    <w:rPr>
      <w:rFonts w:ascii="Times New Roman" w:eastAsia="Calibri" w:hAnsi="Times New Roman"/>
      <w:sz w:val="24"/>
      <w:szCs w:val="24"/>
    </w:rPr>
  </w:style>
  <w:style w:type="paragraph" w:styleId="ab">
    <w:name w:val="header"/>
    <w:basedOn w:val="a"/>
    <w:pPr>
      <w:tabs>
        <w:tab w:val="center" w:pos="4844"/>
        <w:tab w:val="right" w:pos="9689"/>
      </w:tabs>
      <w:spacing w:after="160" w:line="259" w:lineRule="auto"/>
    </w:pPr>
    <w:rPr>
      <w:szCs w:val="22"/>
      <w:lang w:eastAsia="en-US"/>
    </w:rPr>
  </w:style>
  <w:style w:type="character" w:styleId="ac" w:customStyle="1">
    <w:name w:val="Верхній колонтитул Знак"/>
    <w:rPr>
      <w:w w:val="100"/>
      <w:position w:val="-1"/>
      <w:sz w:val="22"/>
      <w:szCs w:val="22"/>
      <w:effect w:val="none"/>
      <w:vertAlign w:val="baseline"/>
      <w:cs w:val="0"/>
      <w:em w:val="none"/>
      <w:lang w:val="ru-RU"/>
    </w:rPr>
  </w:style>
  <w:style w:type="paragraph" w:styleId="ad">
    <w:name w:val="footer"/>
    <w:basedOn w:val="a"/>
    <w:pPr>
      <w:tabs>
        <w:tab w:val="center" w:pos="4844"/>
        <w:tab w:val="right" w:pos="9689"/>
      </w:tabs>
      <w:spacing w:after="160" w:line="259" w:lineRule="auto"/>
    </w:pPr>
    <w:rPr>
      <w:szCs w:val="22"/>
      <w:lang w:eastAsia="en-US"/>
    </w:rPr>
  </w:style>
  <w:style w:type="character" w:styleId="ae" w:customStyle="1">
    <w:name w:val="Нижній колонтитул Знак"/>
    <w:rPr>
      <w:w w:val="100"/>
      <w:position w:val="-1"/>
      <w:sz w:val="22"/>
      <w:szCs w:val="22"/>
      <w:effect w:val="none"/>
      <w:vertAlign w:val="baseline"/>
      <w:cs w:val="0"/>
      <w:em w:val="none"/>
      <w:lang w:val="ru-RU"/>
    </w:rPr>
  </w:style>
  <w:style w:type="paragraph" w:styleId="af">
    <w:name w:val="No Spacing"/>
    <w:pPr>
      <w:suppressAutoHyphens w:val="1"/>
      <w:spacing w:line="1" w:lineRule="atLeast"/>
      <w:ind w:left="-1" w:leftChars="-1" w:hanging="1" w:hangingChars="1"/>
      <w:textDirection w:val="btLr"/>
      <w:textAlignment w:val="top"/>
      <w:outlineLvl w:val="0"/>
    </w:pPr>
    <w:rPr>
      <w:position w:val="-1"/>
      <w:sz w:val="22"/>
      <w:szCs w:val="22"/>
      <w:lang w:eastAsia="en-US" w:val="en-US"/>
    </w:rPr>
  </w:style>
  <w:style w:type="character" w:styleId="30" w:customStyle="1">
    <w:name w:val="Заголовок 3 Знак"/>
    <w:rPr>
      <w:rFonts w:ascii="Calibri Light" w:cs="Times New Roman" w:eastAsia="Times New Roman" w:hAnsi="Calibri Light"/>
      <w:b w:val="1"/>
      <w:bCs w:val="1"/>
      <w:w w:val="100"/>
      <w:position w:val="-1"/>
      <w:sz w:val="26"/>
      <w:szCs w:val="26"/>
      <w:effect w:val="none"/>
      <w:vertAlign w:val="baseline"/>
      <w:cs w:val="0"/>
      <w:em w:val="none"/>
      <w:lang w:eastAsia="en-US" w:val="ru-RU"/>
    </w:rPr>
  </w:style>
  <w:style w:type="character" w:styleId="af0">
    <w:name w:val="Unresolved Mention"/>
    <w:qFormat w:val="1"/>
    <w:rPr>
      <w:color w:val="605e5c"/>
      <w:w w:val="100"/>
      <w:position w:val="-1"/>
      <w:effect w:val="none"/>
      <w:shd w:color="auto" w:fill="e1dfdd" w:val="clear"/>
      <w:vertAlign w:val="baseline"/>
      <w:cs w:val="0"/>
      <w:em w:val="none"/>
    </w:rPr>
  </w:style>
  <w:style w:type="paragraph" w:styleId="af1">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76" w:lineRule="auto"/>
      <w:ind w:left="0" w:right="0" w:hanging="1"/>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tender@r2p.org.ua"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dYIO39wy8xce/MjA0AHZDNPXxQ==">CgMxLjAyCGguZ2pkZ3hzOAByITFNRlRPc0RBck1SNDdLeUliZ3lwQTRSbnFpcGctREJibA==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2020-09-30T07:39:00Z</dcterms:created>
  <dc:creator>Близнюкова Анна</dc:creator>
</cp:coreProperties>
</file>