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6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 проведення офлайн тренінгів  за темою  «Управління ризиками своєї справи»</w:t>
        <w:br w:type="textWrapping"/>
        <w:t xml:space="preserve">з подальшим наданням індивідуальних онлайн консультацій за цією темою протягом 2 місяців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за темою «Управління ризиками своєї справи» з подальшим наданням індивідуальних онлайн консультацій за цією темою протягом 2 місяців </w:t>
      </w:r>
      <w:r w:rsidDel="00000000" w:rsidR="00000000" w:rsidRPr="00000000">
        <w:rPr>
          <w:rtl w:val="0"/>
        </w:rPr>
        <w:t xml:space="preserve">у м. Харків та м. Вінниця.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гібридний: тренінг – офлайн; консультації – онлайн.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Харків та м. Вінниця, онлайн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hxcpkij7pcah" w:id="0"/>
      <w:bookmarkEnd w:id="0"/>
      <w:r w:rsidDel="00000000" w:rsidR="00000000" w:rsidRPr="00000000">
        <w:rPr>
          <w:rtl w:val="0"/>
        </w:rPr>
        <w:t xml:space="preserve">офлайн тренінг: Липень – Серпень 2026 р. та Жовтень 2026 р. – Січень 2027 р.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hmumgmiwa15h" w:id="1"/>
      <w:bookmarkEnd w:id="1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80" w:before="80" w:line="252.00000000000003" w:lineRule="auto"/>
        <w:ind w:left="0" w:right="-28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офлайн тренінгів за темою «Управління ризиками своєї справи» (по 2 тренінги в Харківській та Вінницькій області).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«Управління ризиками своєї справи».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84"/>
        </w:tabs>
        <w:spacing w:after="0" w:before="160" w:lineRule="auto"/>
        <w:ind w:right="-289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«Управління ризиками своєї справи»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20-25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right="-289"/>
              <w:jc w:val="center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rtl w:val="0"/>
              </w:rPr>
              <w:t xml:space="preserve">4 (по 2 хвилі у кожній локації),</w:t>
              <w:br w:type="textWrapping"/>
              <w:t xml:space="preserve">відповідно, тренінг буде проведено 2 рази в кожній локації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before="100" w:line="259.2000000000001" w:lineRule="auto"/>
        <w:ind w:right="-28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а також розробляти ефективні стратегії реагування й мінімізації їхнього впливу.</w:t>
      </w:r>
    </w:p>
    <w:p w:rsidR="00000000" w:rsidDel="00000000" w:rsidP="00000000" w:rsidRDefault="00000000" w:rsidRPr="00000000" w14:paraId="0000001F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учасники розуміють, що таке управління ризиками, вміють ідентифікувати й оцінити потенційні ризики для їхнього бізнесу, оцінювати їхню ймовірність та вплив, та мають попередній план реагування на ризики.</w:t>
      </w:r>
    </w:p>
    <w:p w:rsidR="00000000" w:rsidDel="00000000" w:rsidP="00000000" w:rsidRDefault="00000000" w:rsidRPr="00000000" w14:paraId="00000020">
      <w:pPr>
        <w:widowControl w:val="0"/>
        <w:spacing w:after="0" w:before="80" w:line="259.2000000000001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онлайн консультацій за темою «Управління ризиками своєї справи»</w:t>
      </w:r>
    </w:p>
    <w:p w:rsidR="00000000" w:rsidDel="00000000" w:rsidP="00000000" w:rsidRDefault="00000000" w:rsidRPr="00000000" w14:paraId="00000021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22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2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індивідуально розібрати кейси учасників, проконсультувати щодо застосування інструментів управління ризиками безпосередньо до специфіки бізнесу учасників, відповісти на запитання, за потреби допомогти з проведенням аналізу ризиків та напрацюванням шляхів превенції настання ризиків, або мінімізації негативного впливу ризиків в разі їх настання.</w:t>
      </w:r>
    </w:p>
    <w:p w:rsidR="00000000" w:rsidDel="00000000" w:rsidP="00000000" w:rsidRDefault="00000000" w:rsidRPr="00000000" w14:paraId="0000002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індивідуально опрацьований план реагування на ризики, який інтегровано в їхній бізнес-план, а також краще розуміють, як вчасно ідентифікувати загрози та ефективно на них реагувати в межах своєї підприємницької діяльності.</w:t>
      </w:r>
    </w:p>
    <w:p w:rsidR="00000000" w:rsidDel="00000000" w:rsidP="00000000" w:rsidRDefault="00000000" w:rsidRPr="00000000" w14:paraId="00000025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бенефіціарів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5"/>
              <w:rPr/>
            </w:pPr>
            <w:r w:rsidDel="00000000" w:rsidR="00000000" w:rsidRPr="00000000">
              <w:rPr>
                <w:rtl w:val="0"/>
              </w:rPr>
              <w:t xml:space="preserve">Розроблено програму 6-годинного тренінгу із зазначенням питань, що будуть розглянуті, та їх детального опису.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081.56249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/>
            </w:pPr>
            <w:r w:rsidDel="00000000" w:rsidR="00000000" w:rsidRPr="00000000">
              <w:rPr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115.703124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rHeight w:val="1554.8437499999998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Електронні/Друковані примірники з роздатковими матеріалами у форматі pdf (100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Створено/надруковано роздаткові матеріали за темою тренінгу для учасників у відповідній кількості (100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період Липень-Серпень та Жовтень 2026 р. - Січень 2027 р. – проведено 4 офлайн-тренінги (2 тренінги у м. Харків та 2 тренінги у м. Вінниця) за темою «Управління ризиками своєї справи» тривалістю 6 годин кожен для 4 груп (20-25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20-25 осіб у м. Харків та м. Вінниця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– Серпень 2026 р. та Жовтень 2026 р. – Січень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індивідуальних консультацій (тривалістю 1 година кожна) з розробки плану реагування на ризики для кожного окремого бізнесу учасників навчальної програми.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інструментів управління ризиками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7B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7C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7D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7E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1-2 ТЗ.</w:t>
      </w:r>
    </w:p>
    <w:p w:rsidR="00000000" w:rsidDel="00000000" w:rsidP="00000000" w:rsidRDefault="00000000" w:rsidRPr="00000000" w14:paraId="0000007F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80">
      <w:pPr>
        <w:spacing w:after="60" w:before="40" w:line="256.8" w:lineRule="auto"/>
        <w:jc w:val="both"/>
        <w:rPr/>
      </w:pPr>
      <w:bookmarkStart w:colFirst="0" w:colLast="0" w:name="_heading=h.1x9ydhbqpky1" w:id="3"/>
      <w:bookmarkEnd w:id="3"/>
      <w:r w:rsidDel="00000000" w:rsidR="00000000" w:rsidRPr="00000000">
        <w:rPr>
          <w:rtl w:val="0"/>
        </w:rPr>
        <w:t xml:space="preserve">Оплата за проїзд, проживання, добові — не передбачена.  </w:t>
      </w:r>
    </w:p>
    <w:p w:rsidR="00000000" w:rsidDel="00000000" w:rsidP="00000000" w:rsidRDefault="00000000" w:rsidRPr="00000000" w14:paraId="00000081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82">
      <w:pPr>
        <w:spacing w:after="60" w:before="40" w:line="256.8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u w:val="single"/>
          <w:rtl w:val="0"/>
        </w:rPr>
        <w:t xml:space="preserve">tender@r2p.org.ua.</w:t>
      </w:r>
    </w:p>
    <w:p w:rsidR="00000000" w:rsidDel="00000000" w:rsidP="00000000" w:rsidRDefault="00000000" w:rsidRPr="00000000" w14:paraId="00000083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з управління ризиками в бізнесі;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8A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90">
      <w:pPr>
        <w:widowControl w:val="0"/>
        <w:spacing w:after="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92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035"/>
        <w:tblGridChange w:id="0">
          <w:tblGrid>
            <w:gridCol w:w="345"/>
            <w:gridCol w:w="1980"/>
            <w:gridCol w:w="6555"/>
            <w:gridCol w:w="103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6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 балів: 2 і більше років досвіду.</w:t>
            </w:r>
          </w:p>
          <w:p w:rsidR="00000000" w:rsidDel="00000000" w:rsidP="00000000" w:rsidRDefault="00000000" w:rsidRPr="00000000" w14:paraId="0000009B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до 2 років досвіду.</w:t>
            </w:r>
          </w:p>
          <w:p w:rsidR="00000000" w:rsidDel="00000000" w:rsidP="00000000" w:rsidRDefault="00000000" w:rsidRPr="00000000" w14:paraId="0000009C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до 1 року досвіду.</w:t>
            </w:r>
          </w:p>
          <w:p w:rsidR="00000000" w:rsidDel="00000000" w:rsidP="00000000" w:rsidRDefault="00000000" w:rsidRPr="00000000" w14:paraId="0000009D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до 0,5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3.png"/>
            <a:graphic>
              <a:graphicData uri="http://schemas.openxmlformats.org/drawingml/2006/picture">
                <pic:pic>
                  <pic:nvPicPr>
                    <pic:cNvPr descr="ℹ️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2.png"/>
            <a:graphic>
              <a:graphicData uri="http://schemas.openxmlformats.org/drawingml/2006/picture">
                <pic:pic>
                  <pic:nvPicPr>
                    <pic:cNvPr descr="🇨🇭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793.7007874015749" w:top="1247.2440944881891" w:left="1133.8582677165355" w:right="850.3937007874016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6avesU2rXGYyjKGxkFFjLV7wGg==">CgMxLjAyDmguaHhjcGtpajdwY2FoMg5oLmhtdW1nbWl3YTE1aDIJaC4xZm9iOXRlMg5oLjF4OXlkaGJxcGt5MTIIaC5namRneHMyCWguMmV0OTJwMDgAciExSm9tVGJjVFBNSkwxQ21oNHVyR1ZsMzkzTjFFNUU1OXE=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