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425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iacny1jgsd1h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ТЕХНІЧНЕ ЗАВДАННЯ</w:t>
        <w:br w:type="textWrapping"/>
      </w:r>
    </w:p>
    <w:p w:rsidR="00000000" w:rsidDel="00000000" w:rsidP="00000000" w:rsidRDefault="00000000" w:rsidRPr="00000000" w14:paraId="00000002">
      <w:pPr>
        <w:ind w:firstLine="425"/>
        <w:jc w:val="both"/>
        <w:rPr>
          <w:rFonts w:ascii="Times New Roman" w:cs="Times New Roman" w:eastAsia="Times New Roman" w:hAnsi="Times New Roman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Потреби: Надання психологічної підтримки та менторського супроводу учасникам навчальної програми з бізнесу.</w:t>
      </w:r>
    </w:p>
    <w:p w:rsidR="00000000" w:rsidDel="00000000" w:rsidP="00000000" w:rsidRDefault="00000000" w:rsidRPr="00000000" w14:paraId="00000003">
      <w:pPr>
        <w:ind w:firstLine="425"/>
        <w:jc w:val="both"/>
        <w:rPr>
          <w:rFonts w:ascii="Times New Roman" w:cs="Times New Roman" w:eastAsia="Times New Roman" w:hAnsi="Times New Roman"/>
        </w:rPr>
      </w:pPr>
      <w:bookmarkStart w:colFirst="0" w:colLast="0" w:name="_heading=h.2et92p0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Місце проведення: Київська область (Буча, Макарів, Ірпінь)</w:t>
      </w:r>
    </w:p>
    <w:p w:rsidR="00000000" w:rsidDel="00000000" w:rsidP="00000000" w:rsidRDefault="00000000" w:rsidRPr="00000000" w14:paraId="00000004">
      <w:pPr>
        <w:ind w:firstLine="425"/>
        <w:jc w:val="both"/>
        <w:rPr>
          <w:rFonts w:ascii="Times New Roman" w:cs="Times New Roman" w:eastAsia="Times New Roman" w:hAnsi="Times New Roman"/>
        </w:rPr>
      </w:pPr>
      <w:bookmarkStart w:colFirst="0" w:colLast="0" w:name="_heading=h.tyjcwt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Період надання послуг: березень-травень 2025 р.</w:t>
      </w:r>
    </w:p>
    <w:p w:rsidR="00000000" w:rsidDel="00000000" w:rsidP="00000000" w:rsidRDefault="00000000" w:rsidRPr="00000000" w14:paraId="00000005">
      <w:pPr>
        <w:ind w:firstLine="425"/>
        <w:jc w:val="both"/>
        <w:rPr>
          <w:rFonts w:ascii="Times New Roman" w:cs="Times New Roman" w:eastAsia="Times New Roman" w:hAnsi="Times New Roman"/>
        </w:rPr>
      </w:pPr>
      <w:bookmarkStart w:colFirst="0" w:colLast="0" w:name="_heading=h.3dy6vkm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Географія учасників проєкту: Київська область, Бучанський район (Макарівська, Ірпінська та Бучанська громади)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bookmarkStart w:colFirst="0" w:colLast="0" w:name="_heading=h.1t3h5s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bookmarkStart w:colFirst="0" w:colLast="0" w:name="_heading=h.4d34og8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Детальний опис послуг: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Групова робота: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Проведення групової роботи (у форматі: тренінгу, групової сесії, психологічного майстер-класу, трансформаційної гри, менторської сесії тощо – на розсуд виконавця) для учасників програми на теми, пов’язані з управлінням стресом, конфліктами, балансом між роботою та особистим життям, мотивацією, подоланням вигорання, розвитком лідерських якостей.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7dp8vu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Період: березень-травень 2025 рік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3rdcrjn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Загальна кількість групових сесій: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(по 3 групові сесії для кожної окремої групи)</w:t>
        <w:br w:type="textWrapping"/>
        <w:t xml:space="preserve">Кількість груп: 3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Загальна тривалість однієї групової сесії для однієї групи: 2 години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Кількість учасників в 1 групі: 40 - 45 осіб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Всього годин групової роботи з трьома групами: 18 годин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26in1rg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Формат: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очно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(Макарівська, Ірпінська та Бучанська громади)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35nkun2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Індивідуальні консультації (за запитом учасників навчальної програми):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Надання персональної психологічної підтримки учасникам. Робота над емоційною стійкістю, розвитком особистих та підприємницьких компетенцій.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Період: березень-травень 2025 рік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Загальна кількість індивідуальних консультацій: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(для учасників трьох груп)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Загальна тривалість однієї індивідуальної консультації: 60 хв.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44sinio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Формат: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онлайн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2jxsxqh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Консультування відбуватиметься відповідно до запитів бенефіціарів, тому можливе нерівномірне розподілення навантаження помісячно.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4426srsydeav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3j2qqm3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Проведення анкетування та розробка рекомендацій щодо психологічного благополуччя учасників програми за результатами анкетування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4i7ojhp" w:id="15"/>
      <w:bookmarkEnd w:id="1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основі результатів психологічного опитувальника фахівець аналізуватиме рівень психологічного благополуччя кожного учасника.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Особлива увага приділятиметься тим учасникам, у яких за результатами опитувальника виявляться певні маркери чи показники, що свідчать про знижений рівень психологічного благополуччя.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цих учасників буде підготовлено персоналізовані рекомендації, спрямовані на покращення їхнього емоційного стану та підтримку у подоланні можливих труднощів. Окрім надання рекомендацій, фахівець також запрошуватиме цих учасників на індивідуальні консультації для глибшого опрацювання їхніх запитів.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ym1ifj3jl2fw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i w:val="1"/>
          <w:u w:val="single"/>
        </w:rPr>
      </w:pPr>
      <w:bookmarkStart w:colFirst="0" w:colLast="0" w:name="_heading=h.2jxsxqh" w:id="12"/>
      <w:bookmarkEnd w:id="12"/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Вказано орієнтовну очікувану кількість послуг. Кількість послуг може бути змінена в залежності від потреб проекту і звернень учасників.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ild6zxugqjsj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Очікується: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що фахівець запропонує варіант валідного опитувальника для вимірювання психологічного благополуччя, де будуть враховані такі ключові аспекти: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Емоційний стан і стресостійкість (рівень стресу та тривожності, частота переживання негативних емоцій (роздратування, сум, страх), рівень емоційного виснаження та ризик вигорання).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Мотивація та самореалізація (відчуття сенсу та задоволення від діяльності, впевненість у своїх силах і сприйняття особистих досягнень, баланс між амбіціями та реальними можливостями).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Адаптивність і здатність до змін (гнучкість мислення та вміння адаптуватися до нових викликів, готовність приймати ризики та знаходити нестандартні рішення, вміння справлятися з невдачами та підтримувати позитивне налаштування).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Саморегуляція та енергетичний баланс (якість сну та рівень фізичної активності, способи відновлення ресурсу (хобі, відпочинок, техніки релаксації), вміння керувати своїми емоціями та підтримувати концентрацію).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Соціальна підтримка та комунікація (відчуття підтримки від колег, друзів, сім’ї, рівень конфліктності або труднощів у спілкуванні, вміння відкрито висловлювати свої думки та запити).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Робочий баланс та професійне вигорання (співвідношення між робочими завданнями та особистим життям, відчуття перевантаження або нестачі часу для себе, ознаки вигорання: втома, апатія, байдужість до роботи)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основі цих аспектів фахівець аналізуватиме відповіді та виділятиме учасників із ризикованими показниками, щоб надати їм індивідуальні рекомендації та консультаційну підтримку.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Цільова аудиторія: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люди, які проживають на території цільової області, мають свій мікро-бізнес, є самозайнятими або хочуть розпочати власну справу, а також підпадають щонайменше під один із критеріїв: ВПО, одинокі / багатодітні батьки, особи з інвалідністю, постраждали від воєнних дій (особисто чи у підприємництві), жінки та ін.).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2bn6wsx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Мета послуги: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надати психологічну підтримку та менторський супровід учасникам навчальної програми з розвитку підприємницьких навичок, що сприятиме їхній емоційній стійкості, адаптивності до змін та ефективності в бізнесі.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Очікуваний результат від послуги: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Покращення психологічного благополуччя учасників (зниження рівня стресу та профілактика професійного вигорання, підвищення мотивації та впевненості у власних силах, зміцнення навичок саморегуляції та ефективного відновлення).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Розвиток особистісних компетенцій, що сприяють збільшенню адаптивності до викликів бізнесу, покращенню навичок ухвалення рішень, управлінню емоціями та подоланню кризових ситуацій, формуванню більш збалансованого підходу до роботи та особистого життя.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Надання цільової підтримки учасникам із високими ризиками (виявлення учасників із ризиками психологічного виснаження за допомогою опитувальника, розробка персоналізованих рекомендацій для них. Проведення індивідуальних консультацій для глибшої роботи з їхніми запитами).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Створення сприятливого середовища серед учасників програми (покращення соціальної підтримки та комунікації серед учасників, сприяння формуванню спільноти, яка допомагатиме одне одному долати виклики підприємницької діяльності).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Вища освіта у сфері психології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Досвід проведення групових тренінгів та індивідуальних консультацій від 3 років.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Досвід власної психотерапії (від 30 годин).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Психотерапевтична освіта буде перевагою, але не обов’язкова.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Гнучкість у підходах та адаптація програми під потреби учасників.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qsh70q" w:id="19"/>
      <w:bookmarkEnd w:id="1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Бажаний досвід співпраці з благодійними фондами та соціальними проєктами – буде перевагою.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3as4poj" w:id="20"/>
      <w:bookmarkEnd w:id="2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Власний підприємницький досвід – буде перевагою.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pxezwc" w:id="21"/>
      <w:bookmarkEnd w:id="2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Готовність самостійно забезпечити логістику до локацій – буде перевагою.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Стаж роботи: від 5-х років.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ФОП 3 групи.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Членство у професійних спільнотах (УСП, НПА, ICF) – буде перевагою.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Учасник не має перебувати в процесі припинення діяльності.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Завдання  психолога для бізнесу: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розробити та надати програму групових сесій;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проведення групових сесій упродовж навчальної програми;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розробити пре- та пост- анкетування для оцінки динаміки психологічного благополуччя, стресостійкості, адаптивності та розвитку особистісних компетенцій учасників бізнес-програми;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підготувати матеріали необхідні для проведення  групових сесій;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надання індивідуальних консультацій учасникам, як за запитом, так і адресно, відповідно до проведеної діагностики;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вчасне звітування про виконану роботу згідно з правилами і вимогами донора.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59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2p2csry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Умови співпраці</w:t>
      </w:r>
    </w:p>
    <w:p w:rsidR="00000000" w:rsidDel="00000000" w:rsidP="00000000" w:rsidRDefault="00000000" w:rsidRPr="00000000" w14:paraId="0000004A">
      <w:pPr>
        <w:widowControl w:val="0"/>
        <w:spacing w:line="256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Учасником тендеру є ФОП або юридична особа, що подає свою пропозицію на участь у тендері.</w:t>
      </w:r>
    </w:p>
    <w:p w:rsidR="00000000" w:rsidDel="00000000" w:rsidP="00000000" w:rsidRDefault="00000000" w:rsidRPr="00000000" w14:paraId="0000004B">
      <w:pPr>
        <w:widowControl w:val="0"/>
        <w:ind w:firstLine="5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– виконавця. </w:t>
      </w:r>
    </w:p>
    <w:p w:rsidR="00000000" w:rsidDel="00000000" w:rsidP="00000000" w:rsidRDefault="00000000" w:rsidRPr="00000000" w14:paraId="0000004C">
      <w:pPr>
        <w:widowControl w:val="0"/>
        <w:ind w:firstLine="5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Умови оплати: повна післяплата або переплата не більше 50 %.</w:t>
      </w:r>
    </w:p>
    <w:p w:rsidR="00000000" w:rsidDel="00000000" w:rsidP="00000000" w:rsidRDefault="00000000" w:rsidRPr="00000000" w14:paraId="0000004D">
      <w:pPr>
        <w:widowControl w:val="0"/>
        <w:spacing w:line="259" w:lineRule="auto"/>
        <w:ind w:left="720" w:firstLine="0"/>
        <w:jc w:val="both"/>
        <w:rPr>
          <w:rFonts w:ascii="Roboto" w:cs="Roboto" w:eastAsia="Roboto" w:hAnsi="Roboto"/>
          <w:color w:val="4447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контактну інформацію фахівця (номер телефону, е-пошта);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резюме з описом досвіду, кваліфікації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фахівця у сфері психічного здоров’я, досвід роботи з громадським сектором та благодійними організаціями, з підприємцями, у сфері бізнесу, включаючи інформацію про попередній дотичний досвід, в тому числі досвід у проведенні групових та індивідуальних сесій на зазначену тематику, досвід менторства;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мотиваційний лист із коротким баченням роботи в межах програми;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орієнтовний план роботи щодо форматів взаємодії, відповідно до очікуваних завдань, описаних у тендері;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heading=h.147n2zr" w:id="23"/>
      <w:bookmarkEnd w:id="2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рекомендації/документи, які підтверджують досвід співпраці з благодійними організаціями, громадським сектором, приватним бізнесом (за наявності);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2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сертифікати/додаткове навчання, що підтверджують кваліфікацію у сфері психічного здоров’я (за наявності);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документи, що підтверджують освіту фахівця;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документи, що підтверджують членство в професійній спільноті (за наявності);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заповнену форму фінансової пропозиції;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умови оплати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(відсоток попередньої оплати та післяплати);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реєстраційні документи учасника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(виписка з ЄДР, витяг з реєстру платників податків) для укладання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56" w:lineRule="auto"/>
        <w:jc w:val="both"/>
        <w:rPr>
          <w:rFonts w:ascii="Times New Roman" w:cs="Times New Roman" w:eastAsia="Times New Roman" w:hAnsi="Times New Roman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5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Пропозиція повинна бути складена українською мовою. 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5"/>
        <w:gridCol w:w="2160"/>
        <w:gridCol w:w="6763.000000000001"/>
        <w:gridCol w:w="631.9999999999999"/>
        <w:tblGridChange w:id="0">
          <w:tblGrid>
            <w:gridCol w:w="285"/>
            <w:gridCol w:w="2160"/>
            <w:gridCol w:w="6763.000000000001"/>
            <w:gridCol w:w="631.9999999999999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ШКАЛА ОЦІНКИ ТЕХНІЧНИХ ВИМОГ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Компетенції та кваліфікації учасників (резюме із зазначенням досвіду, зокрема проведення групових сесій та індивідуального консультування за даною темою)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балів: Демонстрація вичерпної інформації щодо кваліфікації, зазначений детальний опис повноважень, навичок, досягнень, розроблених матеріалів та напрацювань за час набуття досвіду. Учасник має профільну освіту (психологія), підтверджений досвід роботи у сфері від 5 років, значний досвід проведення групових та індивідуальних сесій (понад 150), підтверджений рекомендаційними листами або довідками з попередніх місць роботи/проєктів, сертифікати/додаткове навчання, що підтверджують кваліфікацію, членство в профспільноті (у якійсь із цього переліку: УСП, НПА, ICF).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20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Учасник має профільну освіту, досвід роботи у сфері від 3 років, досвід проведення групових сесій та індивідуального консультування (50), підтверджений рекомендаційними листами або довідками з попередніх місць роботи/проєктів, є сертифікати або підтвердження підвищення кваліфікації. Резюме актуалізоване та містить інформацію діяльності фахівця щонайменше за останні 3 роки.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Учасник має профільну освіту або додаткове навчання, досвід роботи у сфері від 1 року, досвід проведення групових сесій та індивідуального консультування (до 50), підтверджений рекомендаційними листами або довідками з попередніх місць роботи/проєктів,.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 – учасник має певний досвід у суміжних сферах (наприклад, освіта, соціальна робота), але мінімальний досвід проведення групових сесій або індивідуального консультування, не має підтверджених сертифікатів чи додаткового навчання.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 – не надано резюме, учасник не має профільної освіти, досвіду проведення групових сесій або індивідуального консультування, не може підтвердити свою кваліфікацію.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200" w:line="256" w:lineRule="auto"/>
              <w:ind w:right="-692.007874015747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бал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line="256" w:lineRule="auto"/>
              <w:ind w:right="-692.007874015747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Співбесіда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балів – учасник чітко та впевнено відповідає на всі запитання, демонструє глибоке розуміння специфіки проєкту, володіє необхідними навичками, аргументує свої підходи, має чітке бачення роботи, проявляє ініціативність та стратегічне мислення.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балів – учасник впевнено відповідає на більшість запитань, добре розуміє специфіку проєкту, володіє основними навичками, аргументує свої рішення, але деякі моменти потребують уточнення або поглиблення.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балів – учасник дає загалом зрозумілі відповіді, має базове розуміння проєкту, демонструє знання частини необхідних навичок, але не завжди може аргументувати свої рішення або має прогалини у деяких аспектах.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 – учасник відповідає невпевнено, демонструє лише часткове розуміння проєкту, має поверхневе знання необхідних навичок і не може чітко пояснити свої підходи.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 – учасник не дає конкретних відповідей, демонструє недостатнє розуміння проєкту та необхідних навичок, не може аргументувати свої рішення.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балів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Досвід консультування приватного бізнесу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 – учасник має досвід консультування приватного бізнесу, розуміється на наданні послуг такого характеру і може надати документи/рекомендації, які це підтверджують.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бали – учасник має досвід консультування приватного бізнесу менше 1 року або епізодичні консультації.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 – учасник не має досвіду консультування приватного бізнесу.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Досвід роботи з благодійними організаціями та громадським сектором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 – учасник має підтверджений досвід роботи з благодійними організаціями або в громадському секторі понад 1 рік, брав участь у реалізації проєктів, має рекомендації. Розуміє принципи гуманітарної роботи.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бали – учасник має досвід роботи з благодійними організаціями або громадським сектором менше 1 року, або має епізодичний досвід співпраці. Розуміє принципи гуманітарної роботи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 – учасник не має досвіду роботи з благодійними організаціями або громадським сектором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20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</w:t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3o7alnk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23ckvvd" w:id="25"/>
      <w:bookmarkEnd w:id="2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Щодо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просим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 звертатися на пошту k.zaitseva@r2p.org.ua.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82" w:top="850" w:left="992" w:right="7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8IZretqOFK2ol9wAwafmhuKig==">CgMxLjAyDmguaWFjbnkxamdzZDFoMgloLjFmb2I5dGUyCWguMmV0OTJwMDIIaC50eWpjd3QyCWguM2R5NnZrbTIJaC4xdDNoNXNmMgloLjRkMzRvZzgyCWguMTdkcDh2dTIJaC4zcmRjcmpuMgloLjI2aW4xcmcyCWguMzVua3VuMjIJaC40NHNpbmlvMgloLjJqeHN4cWgyDmguNDQyNnNyc3lkZWF2MgloLjNqMnFxbTMyCWguNGk3b2pocDIOaC55bTFpZmozamwyZncyCWguMmp4c3hxaDIOaC5pbGQ2enh1Z3Fqc2oyCWguMmJuNndzeDIIaC5xc2g3MHEyCWguM2FzNHBvajIJaC4xcHhlendjMgloLjJwMmNzcnkyCWguMTQ3bjJ6cjIJaC4zbzdhbG5rMgloLjIzY2t2dmQ4AHIhMUg4MHpXNUJjTjZ4T3IxYVc4UDZ0bloyd0JXTFpoQX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2025-03-05T07:06:00Z</dcterms:created>
  <dc:creator>User</dc:creator>
</cp:coreProperties>
</file>