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закупівлі послуги менторингу у сфері фандрайзингу та проектного менеджменту</w:t>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w:t>
      </w:r>
      <w:r w:rsidDel="00000000" w:rsidR="00000000" w:rsidRPr="00000000">
        <w:rPr>
          <w:rFonts w:ascii="Times New Roman" w:cs="Times New Roman" w:eastAsia="Times New Roman" w:hAnsi="Times New Roman"/>
          <w:rtl w:val="0"/>
        </w:rPr>
        <w:t xml:space="preserve"> 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tabs>
          <w:tab w:val="left" w:leader="none" w:pos="1134"/>
        </w:tabs>
        <w:spacing w:line="240" w:lineRule="auto"/>
        <w:ind w:left="-566" w:firstLine="0"/>
        <w:jc w:val="both"/>
        <w:rPr/>
      </w:pPr>
      <w:r w:rsidDel="00000000" w:rsidR="00000000" w:rsidRPr="00000000">
        <w:rPr>
          <w:rFonts w:ascii="Times New Roman" w:cs="Times New Roman" w:eastAsia="Times New Roman" w:hAnsi="Times New Roman"/>
          <w:rtl w:val="0"/>
        </w:rPr>
        <w:t xml:space="preserve">Програма підтримки Безпечних просторів для жінок та дівчат (WGSS) спрямована на зміцнення їхнього інституційного потенціалу, видимості та сталості. Ці заходи допоможуть командам WGSS покращити внутрішньое управління, комунікацію з місцевими органами влади, неурядовими організаціями та ЗМІ, а також просувати цифровізацію та брендинг. </w:t>
      </w:r>
      <w:r w:rsidDel="00000000" w:rsidR="00000000" w:rsidRPr="00000000">
        <w:rPr>
          <w:rtl w:val="0"/>
        </w:rPr>
      </w:r>
    </w:p>
    <w:p w:rsidR="00000000" w:rsidDel="00000000" w:rsidP="00000000" w:rsidRDefault="00000000" w:rsidRPr="00000000" w14:paraId="00000009">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фандрайзингу та проектного менеджменту</w:t>
      </w:r>
    </w:p>
    <w:p w:rsidR="00000000" w:rsidDel="00000000" w:rsidP="00000000" w:rsidRDefault="00000000" w:rsidRPr="00000000" w14:paraId="0000000B">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C">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липень 2026 року - січень 2027 року.</w:t>
      </w:r>
    </w:p>
    <w:p w:rsidR="00000000" w:rsidDel="00000000" w:rsidP="00000000" w:rsidRDefault="00000000" w:rsidRPr="00000000" w14:paraId="0000000D">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color w:val="1f1f1f"/>
          <w:highlight w:val="white"/>
          <w:rtl w:val="0"/>
        </w:rPr>
        <w:t xml:space="preserve">Запорізька, Дніпропетровська, Донецька, Миколаївська, Сумська, Харківська, Херсонська, Чернігівська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F">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15 БПЖД.</w:t>
      </w:r>
    </w:p>
    <w:p w:rsidR="00000000" w:rsidDel="00000000" w:rsidP="00000000" w:rsidRDefault="00000000" w:rsidRPr="00000000" w14:paraId="00000010">
      <w:pPr>
        <w:tabs>
          <w:tab w:val="left" w:leader="none" w:pos="1134"/>
        </w:tabs>
        <w:spacing w:after="6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від 4 год для 1 БПЖД</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Кількість годин є орієнтовною і у разі запиту від БПЖД може бути погоджено більшу кількість годин для кожного БПЖД.</w:t>
      </w:r>
      <w:r w:rsidDel="00000000" w:rsidR="00000000" w:rsidRPr="00000000">
        <w:rPr>
          <w:rtl w:val="0"/>
        </w:rPr>
      </w:r>
    </w:p>
    <w:p w:rsidR="00000000" w:rsidDel="00000000" w:rsidP="00000000" w:rsidRDefault="00000000" w:rsidRPr="00000000" w14:paraId="00000011">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2">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3">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4:</w:t>
      </w:r>
      <w:r w:rsidDel="00000000" w:rsidR="00000000" w:rsidRPr="00000000">
        <w:rPr>
          <w:rtl w:val="0"/>
        </w:rPr>
      </w:r>
    </w:p>
    <w:tbl>
      <w:tblPr>
        <w:tblStyle w:val="Table1"/>
        <w:tblW w:w="10470.0" w:type="dxa"/>
        <w:jc w:val="left"/>
        <w:tblInd w:w="-5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1785"/>
        <w:gridCol w:w="2385"/>
        <w:gridCol w:w="2505"/>
        <w:gridCol w:w="2610"/>
        <w:tblGridChange w:id="0">
          <w:tblGrid>
            <w:gridCol w:w="1185"/>
            <w:gridCol w:w="1785"/>
            <w:gridCol w:w="2385"/>
            <w:gridCol w:w="2505"/>
            <w:gridCol w:w="2610"/>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Період надання послуг</w:t>
            </w:r>
          </w:p>
        </w:tc>
      </w:tr>
      <w:tr>
        <w:trPr>
          <w:cantSplit w:val="0"/>
          <w:trHeight w:val="17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B">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D">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2126.477050781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15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1">
            <w:pPr>
              <w:tabs>
                <w:tab w:val="left" w:leader="none" w:pos="1134"/>
              </w:tabs>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Підсилення кожного з 15 БПЖД у сфері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фандрайзингу та проектного менеджменту</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липень 2026 року - січень 2027 року</w:t>
            </w:r>
          </w:p>
        </w:tc>
      </w:tr>
    </w:tbl>
    <w:p w:rsidR="00000000" w:rsidDel="00000000" w:rsidP="00000000" w:rsidRDefault="00000000" w:rsidRPr="00000000" w14:paraId="00000023">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4">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5">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та продукти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7">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8">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юридичні особи (пропозиції приймаються без ПДВ).</w:t>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A">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  </w:t>
      </w:r>
      <w:r w:rsidDel="00000000" w:rsidR="00000000" w:rsidRPr="00000000">
        <w:rPr>
          <w:rFonts w:ascii="Times New Roman" w:cs="Times New Roman" w:eastAsia="Times New Roman" w:hAnsi="Times New Roman"/>
          <w:rtl w:val="0"/>
        </w:rPr>
        <w:t xml:space="preserve">Впродовж співпраці має бути подано 3 рахунка, 3 акта наданих послуг та 3 звіта.</w:t>
      </w:r>
      <w:r w:rsidDel="00000000" w:rsidR="00000000" w:rsidRPr="00000000">
        <w:rPr>
          <w:rtl w:val="0"/>
        </w:rPr>
      </w:r>
    </w:p>
    <w:p w:rsidR="00000000" w:rsidDel="00000000" w:rsidP="00000000" w:rsidRDefault="00000000" w:rsidRPr="00000000" w14:paraId="0000002B">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C">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w:t>
      </w:r>
      <w:r w:rsidDel="00000000" w:rsidR="00000000" w:rsidRPr="00000000">
        <w:rPr>
          <w:rFonts w:ascii="Times New Roman" w:cs="Times New Roman" w:eastAsia="Times New Roman" w:hAnsi="Times New Roman"/>
          <w:rtl w:val="0"/>
        </w:rPr>
        <w:t xml:space="preserve">ле</w:t>
      </w:r>
      <w:r w:rsidDel="00000000" w:rsidR="00000000" w:rsidRPr="00000000">
        <w:rPr>
          <w:rFonts w:ascii="Times New Roman" w:cs="Times New Roman" w:eastAsia="Times New Roman" w:hAnsi="Times New Roman"/>
          <w:rtl w:val="0"/>
        </w:rPr>
        <w:t xml:space="preserve"> не пізніше як 2 (два) дні до кінцевого терміну</w:t>
      </w:r>
      <w:r w:rsidDel="00000000" w:rsidR="00000000" w:rsidRPr="00000000">
        <w:rPr>
          <w:rFonts w:ascii="Times New Roman" w:cs="Times New Roman" w:eastAsia="Times New Roman" w:hAnsi="Times New Roman"/>
          <w:highlight w:val="white"/>
          <w:rtl w:val="0"/>
        </w:rPr>
        <w:t xml:space="preserve">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D">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2E">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2F">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 Учасник немає перебувати в процесі припинення діяльності ФОП.</w:t>
      </w:r>
    </w:p>
    <w:p w:rsidR="00000000" w:rsidDel="00000000" w:rsidP="00000000" w:rsidRDefault="00000000" w:rsidRPr="00000000" w14:paraId="00000030">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31">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2">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3">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r w:rsidDel="00000000" w:rsidR="00000000" w:rsidRPr="00000000">
        <w:rPr>
          <w:rtl w:val="0"/>
        </w:rPr>
      </w:r>
    </w:p>
    <w:p w:rsidR="00000000" w:rsidDel="00000000" w:rsidP="00000000" w:rsidRDefault="00000000" w:rsidRPr="00000000" w14:paraId="00000034">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 у сфері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фандрайзингу та проектного менеджменту) так і менторського (перелік оргаізацій, установ, яким надавались менторські послуги);</w:t>
      </w:r>
    </w:p>
    <w:p w:rsidR="00000000" w:rsidDel="00000000" w:rsidP="00000000" w:rsidRDefault="00000000" w:rsidRPr="00000000" w14:paraId="00000035">
      <w:pPr>
        <w:numPr>
          <w:ilvl w:val="0"/>
          <w:numId w:val="2"/>
        </w:numPr>
        <w:tabs>
          <w:tab w:val="left" w:leader="none" w:pos="1134"/>
        </w:tabs>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про освіту;</w:t>
      </w:r>
    </w:p>
    <w:p w:rsidR="00000000" w:rsidDel="00000000" w:rsidP="00000000" w:rsidRDefault="00000000" w:rsidRPr="00000000" w14:paraId="00000036">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7">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Del="00000000" w:rsidR="00000000" w:rsidRPr="00000000">
        <w:rPr>
          <w:rtl w:val="0"/>
        </w:rPr>
      </w:r>
    </w:p>
    <w:p w:rsidR="00000000" w:rsidDel="00000000" w:rsidP="00000000" w:rsidRDefault="00000000" w:rsidRPr="00000000" w14:paraId="00000038">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39">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3A">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Підведення підсумків тендеру</w:t>
      </w:r>
    </w:p>
    <w:p w:rsidR="00000000" w:rsidDel="00000000" w:rsidP="00000000" w:rsidRDefault="00000000" w:rsidRPr="00000000" w14:paraId="0000003B">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550"/>
        <w:gridCol w:w="5445"/>
        <w:gridCol w:w="1170"/>
        <w:tblGridChange w:id="0">
          <w:tblGrid>
            <w:gridCol w:w="495"/>
            <w:gridCol w:w="2550"/>
            <w:gridCol w:w="5445"/>
            <w:gridCol w:w="1170"/>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C">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0">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1">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2">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874.99999999999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8">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A">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4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5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51">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2">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3">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 А також з акцентований на дотриманні міжнародних стандартів протидії ГЗН та домашньому насильству з урахуванням тенденцій в Україні</w:t>
            </w:r>
          </w:p>
          <w:p w:rsidR="00000000" w:rsidDel="00000000" w:rsidP="00000000" w:rsidRDefault="00000000" w:rsidRPr="00000000" w14:paraId="0000005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 планує задавати для уточнення запиту та ведення процесу менторингу</w:t>
            </w:r>
          </w:p>
          <w:p w:rsidR="00000000" w:rsidDel="00000000" w:rsidP="00000000" w:rsidRDefault="00000000" w:rsidRPr="00000000" w14:paraId="0000005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B">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балів - Учасник має значний досвід у сфері фандрейзингу та проектного менеджменту, а також у  співпраці з ОГС/БПЖД/громадами, зокрема досвід менторства саме у сфері фандрайзингу та проектного менеджменту</w:t>
            </w:r>
          </w:p>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у сфері фандрейзингу та проектного менеджменту, а також у  співпраці з ОГС/БПЖД/громадами, однак немає досвіду менторства у вказаній темі саме ОГС/БПЖД</w:t>
            </w:r>
          </w:p>
          <w:p w:rsidR="00000000" w:rsidDel="00000000" w:rsidP="00000000" w:rsidRDefault="00000000" w:rsidRPr="00000000" w14:paraId="0000006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співпраці з ОГС, наявний досвід не релевантний темі запиту тощо.</w:t>
            </w:r>
          </w:p>
          <w:p w:rsidR="00000000" w:rsidDel="00000000" w:rsidP="00000000" w:rsidRDefault="00000000" w:rsidRPr="00000000" w14:paraId="0000006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має досвіду у сфері  фандрайзингу та проектного менеджменту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3">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r>
    </w:tbl>
    <w:p w:rsidR="00000000" w:rsidDel="00000000" w:rsidP="00000000" w:rsidRDefault="00000000" w:rsidRPr="00000000" w14:paraId="00000064">
      <w:pPr>
        <w:shd w:fill="ffffff" w:val="clear"/>
        <w:jc w:val="both"/>
        <w:rPr>
          <w:rFonts w:ascii="Times New Roman" w:cs="Times New Roman" w:eastAsia="Times New Roman" w:hAnsi="Times New Roman"/>
        </w:rPr>
      </w:pPr>
      <w:r w:rsidDel="00000000" w:rsidR="00000000" w:rsidRPr="00000000">
        <w:rPr>
          <w:i w:val="1"/>
          <w:iCs w:val="1"/>
          <w:sz w:val="18"/>
          <w:szCs w:val="18"/>
          <w:rtl w:val="0"/>
        </w:rPr>
        <w:t xml:space="preserve">Профінансовано за підтримки UK aid від уряду Великої Британії, реалізується в межах Національного консорціуму PULSE за координації БФ «Право на захист». Підтримка цього проєкту в Україні з боку уряду Великої Британії надається через компонент SHARP його Програми з гуманітарної допомоги, відновлення та захисту.</w:t>
      </w:r>
      <w:r w:rsidDel="00000000" w:rsidR="00000000" w:rsidRPr="00000000">
        <w:rPr>
          <w:rtl w:val="0"/>
        </w:rPr>
      </w:r>
    </w:p>
    <w:p w:rsidR="00000000" w:rsidDel="00000000" w:rsidP="00000000" w:rsidRDefault="00000000" w:rsidRPr="00000000" w14:paraId="00000065">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6">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7">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8">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9">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A">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B">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C">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D">
      <w:pPr>
        <w:tabs>
          <w:tab w:val="left" w:leader="none" w:pos="1134"/>
        </w:tabs>
        <w:spacing w:line="240" w:lineRule="auto"/>
        <w:ind w:left="-566" w:firstLine="0"/>
        <w:jc w:val="both"/>
        <w:rPr/>
      </w:pPr>
      <w:r w:rsidDel="00000000" w:rsidR="00000000" w:rsidRPr="00000000">
        <w:rPr>
          <w:rtl w:val="0"/>
        </w:rPr>
      </w:r>
    </w:p>
    <w:sectPr>
      <w:pgSz w:h="16834" w:w="11909" w:orient="portrait"/>
      <w:pgMar w:bottom="1106.574803149607" w:top="1133.8582677165355"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2ZYCLYPkSakw9IOSHiFl4x9pLQ==">CgMxLjA4AHIhMVIxZUlWTHR4c3BtQkYzQUk1emxPX19nVU5jWHRqWGRP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