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21.07.2026</w:t>
      </w:r>
    </w:p>
    <w:p w:rsidR="00000000" w:rsidDel="00000000" w:rsidP="00000000" w:rsidRDefault="00000000" w:rsidRPr="00000000" w14:paraId="00000002">
      <w:pPr>
        <w:widowControl w:val="0"/>
        <w:spacing w:after="0" w:lineRule="auto"/>
        <w:ind w:firstLine="425"/>
        <w:jc w:val="center"/>
        <w:rPr>
          <w:sz w:val="20"/>
          <w:szCs w:val="20"/>
        </w:rPr>
      </w:pPr>
      <w:r w:rsidDel="00000000" w:rsidR="00000000" w:rsidRPr="00000000">
        <w:rPr>
          <w:rtl w:val="0"/>
        </w:rPr>
      </w:r>
    </w:p>
    <w:p w:rsidR="00000000" w:rsidDel="00000000" w:rsidP="00000000" w:rsidRDefault="00000000" w:rsidRPr="00000000" w14:paraId="00000003">
      <w:pPr>
        <w:widowControl w:val="0"/>
        <w:spacing w:after="0" w:lineRule="auto"/>
        <w:ind w:firstLine="425"/>
        <w:jc w:val="center"/>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 xml:space="preserve">ЗАПРОШЕННЯ  ДО УЧАСТІ В ТЕНДЕРІ № </w:t>
      </w:r>
      <w:r w:rsidDel="00000000" w:rsidR="00000000" w:rsidRPr="00000000">
        <w:rPr>
          <w:rFonts w:ascii="Times New Roman" w:cs="Times New Roman" w:eastAsia="Times New Roman" w:hAnsi="Times New Roman"/>
          <w:color w:val="000000"/>
          <w:rtl w:val="0"/>
        </w:rPr>
        <w:t xml:space="preserve">Q</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-T</w:t>
      </w:r>
      <w:r w:rsidDel="00000000" w:rsidR="00000000" w:rsidRPr="00000000">
        <w:rPr>
          <w:rFonts w:ascii="Times New Roman" w:cs="Times New Roman" w:eastAsia="Times New Roman" w:hAnsi="Times New Roman"/>
          <w:rtl w:val="0"/>
        </w:rPr>
        <w:t xml:space="preserve">105-RFP</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sz w:val="24"/>
          <w:szCs w:val="24"/>
          <w:rtl w:val="0"/>
        </w:rPr>
        <w:t xml:space="preserve"> послуги </w:t>
      </w:r>
    </w:p>
    <w:p w:rsidR="00000000" w:rsidDel="00000000" w:rsidP="00000000" w:rsidRDefault="00000000" w:rsidRPr="00000000" w14:paraId="00000004">
      <w:pPr>
        <w:widowControl w:val="0"/>
        <w:spacing w:after="120" w:line="256.8" w:lineRule="auto"/>
        <w:ind w:left="-141" w:right="-289"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w:t>
      </w:r>
      <w:r w:rsidDel="00000000" w:rsidR="00000000" w:rsidRPr="00000000">
        <w:rPr>
          <w:rFonts w:ascii="Times New Roman" w:cs="Times New Roman" w:eastAsia="Times New Roman" w:hAnsi="Times New Roman"/>
          <w:b w:val="1"/>
          <w:bCs w:val="1"/>
          <w:highlight w:val="white"/>
          <w:rtl w:val="0"/>
        </w:rPr>
        <w:t xml:space="preserve"> проведення серії онлайн тренінгів з публічних інвестицій, СПІ та  роботи в системі DREAM для громад</w:t>
      </w:r>
      <w:r w:rsidDel="00000000" w:rsidR="00000000" w:rsidRPr="00000000">
        <w:rPr>
          <w:rtl w:val="0"/>
        </w:rPr>
      </w:r>
    </w:p>
    <w:p w:rsidR="00000000" w:rsidDel="00000000" w:rsidP="00000000" w:rsidRDefault="00000000" w:rsidRPr="00000000" w14:paraId="00000005">
      <w:pPr>
        <w:widowControl w:val="0"/>
        <w:spacing w:after="0" w:lineRule="auto"/>
        <w:ind w:firstLine="425"/>
        <w:jc w:val="left"/>
        <w:rPr>
          <w:rFonts w:ascii="Times New Roman" w:cs="Times New Roman" w:eastAsia="Times New Roman" w:hAnsi="Times New Roman"/>
          <w:sz w:val="4"/>
          <w:szCs w:val="4"/>
        </w:rPr>
      </w:pPr>
      <w:bookmarkStart w:colFirst="0" w:colLast="0" w:name="_heading=h.vv3532l4nf6k" w:id="1"/>
      <w:bookmarkEnd w:id="1"/>
      <w:r w:rsidDel="00000000" w:rsidR="00000000" w:rsidRPr="00000000">
        <w:rPr>
          <w:rtl w:val="0"/>
        </w:rPr>
      </w:r>
    </w:p>
    <w:p w:rsidR="00000000" w:rsidDel="00000000" w:rsidP="00000000" w:rsidRDefault="00000000" w:rsidRPr="00000000" w14:paraId="00000006">
      <w:pPr>
        <w:widowControl w:val="0"/>
        <w:spacing w:after="0" w:lineRule="auto"/>
        <w:ind w:firstLine="425"/>
        <w:jc w:val="center"/>
        <w:rPr>
          <w:rFonts w:ascii="Times New Roman" w:cs="Times New Roman" w:eastAsia="Times New Roman" w:hAnsi="Times New Roman"/>
          <w:b w:val="1"/>
          <w:bCs w:val="1"/>
          <w:sz w:val="20"/>
          <w:szCs w:val="20"/>
        </w:rPr>
      </w:pPr>
      <w:bookmarkStart w:colFirst="0" w:colLast="0" w:name="_heading=h.v7ja8ijfebpa" w:id="2"/>
      <w:bookmarkEnd w:id="2"/>
      <w:r w:rsidDel="00000000" w:rsidR="00000000" w:rsidRPr="00000000">
        <w:rPr>
          <w:rFonts w:ascii="Times New Roman" w:cs="Times New Roman" w:eastAsia="Times New Roman" w:hAnsi="Times New Roman"/>
          <w:b w:val="1"/>
          <w:bCs w:val="1"/>
          <w:sz w:val="20"/>
          <w:szCs w:val="20"/>
          <w:rtl w:val="0"/>
        </w:rPr>
        <w:t xml:space="preserve">ДАТА І ЧАС ЗАКІНЧЕННЯ ПРИЙНЯТТЯ ПРОПОЗИЦІЙ: </w:t>
        <w:br w:type="textWrapping"/>
        <w:t xml:space="preserve"> 28  липня 2026 р. – 14:00 за східноєвропейським часом</w:t>
      </w:r>
    </w:p>
    <w:p w:rsidR="00000000" w:rsidDel="00000000" w:rsidP="00000000" w:rsidRDefault="00000000" w:rsidRPr="00000000" w14:paraId="00000007">
      <w:pPr>
        <w:widowControl w:val="0"/>
        <w:spacing w:after="0" w:lineRule="auto"/>
        <w:jc w:val="both"/>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КОРОТКО ПРО БФ «Право на захист»: </w:t>
      </w: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безгромадянства і без документів.</w:t>
      </w:r>
      <w:r w:rsidDel="00000000" w:rsidR="00000000" w:rsidRPr="00000000">
        <w:rPr>
          <w:rtl w:val="0"/>
        </w:rPr>
      </w:r>
    </w:p>
    <w:p w:rsidR="00000000" w:rsidDel="00000000" w:rsidP="00000000" w:rsidRDefault="00000000" w:rsidRPr="00000000" w14:paraId="00000008">
      <w:pPr>
        <w:widowControl w:val="0"/>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Докладна інформація про діяльність БФ «Право на захист» надана на веб-сайті  </w:t>
      </w:r>
      <w:hyperlink r:id="rId7">
        <w:r w:rsidDel="00000000" w:rsidR="00000000" w:rsidRPr="00000000">
          <w:rPr>
            <w:rFonts w:ascii="Times New Roman" w:cs="Times New Roman" w:eastAsia="Times New Roman" w:hAnsi="Times New Roman"/>
            <w:color w:val="0000ff"/>
            <w:sz w:val="20"/>
            <w:szCs w:val="20"/>
            <w:u w:val="single"/>
            <w:rtl w:val="0"/>
          </w:rPr>
          <w:t xml:space="preserve">http://r2p.org.ua</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9">
      <w:pPr>
        <w:widowControl w:val="0"/>
        <w:spacing w:after="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widowControl w:val="0"/>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ПОТРЕБИ:</w:t>
      </w:r>
      <w:r w:rsidDel="00000000" w:rsidR="00000000" w:rsidRPr="00000000">
        <w:rPr>
          <w:rFonts w:ascii="Times New Roman" w:cs="Times New Roman" w:eastAsia="Times New Roman" w:hAnsi="Times New Roman"/>
          <w:sz w:val="20"/>
          <w:szCs w:val="20"/>
          <w:rtl w:val="0"/>
        </w:rPr>
        <w:t xml:space="preserve"> БФ «Право на захист» запрошує організації взяти участь </w:t>
      </w:r>
      <w:r w:rsidDel="00000000" w:rsidR="00000000" w:rsidRPr="00000000">
        <w:rPr>
          <w:rFonts w:ascii="Times New Roman" w:cs="Times New Roman" w:eastAsia="Times New Roman" w:hAnsi="Times New Roman"/>
          <w:highlight w:val="white"/>
          <w:rtl w:val="0"/>
        </w:rPr>
        <w:t xml:space="preserve">в тендері з відбору експерта/експертки або команди експертів з проведення серії онлайн тренінгів з публічних інвестицій, СПІ та  роботи в системі DREAM для громад .</w:t>
      </w:r>
      <w:r w:rsidDel="00000000" w:rsidR="00000000" w:rsidRPr="00000000">
        <w:rPr>
          <w:rtl w:val="0"/>
        </w:rPr>
      </w:r>
    </w:p>
    <w:p w:rsidR="00000000" w:rsidDel="00000000" w:rsidP="00000000" w:rsidRDefault="00000000" w:rsidRPr="00000000" w14:paraId="0000000B">
      <w:pPr>
        <w:widowControl w:val="0"/>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bCs w:val="1"/>
          <w:sz w:val="20"/>
          <w:szCs w:val="20"/>
          <w:rtl w:val="0"/>
        </w:rPr>
        <w:t xml:space="preserve">Строк надання послуги:</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highlight w:val="white"/>
          <w:rtl w:val="0"/>
        </w:rPr>
        <w:t xml:space="preserve">серпень 2026 року - жовтень 2026 року (точні дати будуть додатково узгоджені з замовником послуг)</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b w:val="1"/>
          <w:bCs w:val="1"/>
          <w:sz w:val="20"/>
          <w:szCs w:val="20"/>
          <w:rtl w:val="0"/>
        </w:rPr>
        <w:t xml:space="preserve">Формат надання послуги </w:t>
      </w:r>
      <w:r w:rsidDel="00000000" w:rsidR="00000000" w:rsidRPr="00000000">
        <w:rPr>
          <w:rFonts w:ascii="Times New Roman" w:cs="Times New Roman" w:eastAsia="Times New Roman" w:hAnsi="Times New Roman"/>
          <w:sz w:val="20"/>
          <w:szCs w:val="20"/>
          <w:rtl w:val="0"/>
        </w:rPr>
        <w:t xml:space="preserve">: онлайн</w:t>
      </w:r>
    </w:p>
    <w:p w:rsidR="00000000" w:rsidDel="00000000" w:rsidP="00000000" w:rsidRDefault="00000000" w:rsidRPr="00000000" w14:paraId="0000000C">
      <w:pPr>
        <w:widowControl w:val="0"/>
        <w:spacing w:after="0" w:lineRule="auto"/>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color w:val="0000cc"/>
          <w:sz w:val="20"/>
          <w:szCs w:val="20"/>
          <w:u w:val="single"/>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ЗМІСТ ПРОПОЗИЦІЇ:</w:t>
      </w:r>
    </w:p>
    <w:p w:rsidR="00000000" w:rsidDel="00000000" w:rsidP="00000000" w:rsidRDefault="00000000" w:rsidRPr="00000000" w14:paraId="0000000D">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Просимо направити пропозицію, яка включає:</w:t>
      </w:r>
    </w:p>
    <w:p w:rsidR="00000000" w:rsidDel="00000000" w:rsidP="00000000" w:rsidRDefault="00000000" w:rsidRPr="00000000" w14:paraId="0000000E">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перелік документів і інформації, які необхідно надати, ви можете знайти в файлі «Технічне Завдання», заповнений Додаток А</w:t>
      </w:r>
      <w:r w:rsidDel="00000000" w:rsidR="00000000" w:rsidRPr="00000000">
        <w:rPr>
          <w:rFonts w:ascii="Times New Roman" w:cs="Times New Roman" w:eastAsia="Times New Roman" w:hAnsi="Times New Roman"/>
          <w:sz w:val="20"/>
          <w:szCs w:val="20"/>
          <w:rtl w:val="0"/>
        </w:rPr>
        <w:t xml:space="preserve"> із прикладеними зазначеними документами згідно файла Технічного завдання.</w:t>
      </w:r>
    </w:p>
    <w:p w:rsidR="00000000" w:rsidDel="00000000" w:rsidP="00000000" w:rsidRDefault="00000000" w:rsidRPr="00000000" w14:paraId="0000000F">
      <w:pPr>
        <w:widowControl w:val="0"/>
        <w:spacing w:after="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у вигляді </w:t>
      </w:r>
      <w:r w:rsidDel="00000000" w:rsidR="00000000" w:rsidRPr="00000000">
        <w:rPr>
          <w:rFonts w:ascii="Times New Roman" w:cs="Times New Roman" w:eastAsia="Times New Roman" w:hAnsi="Times New Roman"/>
          <w:b w:val="1"/>
          <w:bCs w:val="1"/>
          <w:i w:val="1"/>
          <w:iCs w:val="1"/>
          <w:sz w:val="20"/>
          <w:szCs w:val="20"/>
          <w:u w:val="single"/>
          <w:rtl w:val="0"/>
        </w:rPr>
        <w:t xml:space="preserve">заповненої форми фінансової пропозиції (Додаток В)</w:t>
      </w:r>
      <w:r w:rsidDel="00000000" w:rsidR="00000000" w:rsidRPr="00000000">
        <w:rPr>
          <w:rFonts w:ascii="Times New Roman" w:cs="Times New Roman" w:eastAsia="Times New Roman" w:hAnsi="Times New Roman"/>
          <w:b w:val="1"/>
          <w:bCs w:val="1"/>
          <w:i w:val="1"/>
          <w:iCs w:val="1"/>
          <w:sz w:val="20"/>
          <w:szCs w:val="20"/>
          <w:rtl w:val="0"/>
        </w:rPr>
        <w:t xml:space="preserve">, яка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widowControl w:val="0"/>
        <w:spacing w:after="120" w:line="256.8" w:lineRule="auto"/>
        <w:ind w:left="141.73228346456688" w:right="-4.724409448817823"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20"/>
          <w:szCs w:val="20"/>
          <w:rtl w:val="0"/>
        </w:rPr>
        <w:t xml:space="preserve">Звертаємо увагу, що в межах реалізації проєкту до участі у тендері допускаються фізичні особи-підприємці 3-ї групи та юридичні особи (ТОВ), які не є платниками ПДВ. Пропозиція учасника має подаватися без ПДВ. Учасник повинен бути зареєстрований відповідно до чинного законодавства України.</w:t>
      </w:r>
      <w:r w:rsidDel="00000000" w:rsidR="00000000" w:rsidRPr="00000000">
        <w:rPr>
          <w:rtl w:val="0"/>
        </w:rPr>
      </w:r>
    </w:p>
    <w:p w:rsidR="00000000" w:rsidDel="00000000" w:rsidP="00000000" w:rsidRDefault="00000000" w:rsidRPr="00000000" w14:paraId="00000013">
      <w:pPr>
        <w:widowControl w:val="0"/>
        <w:spacing w:after="0" w:line="240" w:lineRule="auto"/>
        <w:ind w:hanging="2"/>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Оцінка пропозицій:</w:t>
      </w:r>
    </w:p>
    <w:p w:rsidR="00000000" w:rsidDel="00000000" w:rsidP="00000000" w:rsidRDefault="00000000" w:rsidRPr="00000000" w14:paraId="00000014">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15">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7">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9">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A">
      <w:pPr>
        <w:widowControl w:val="0"/>
        <w:spacing w:after="0" w:line="240" w:lineRule="auto"/>
        <w:ind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bCs w:val="1"/>
          <w:color w:val="0000cc"/>
          <w:sz w:val="24"/>
          <w:szCs w:val="24"/>
          <w:rtl w:val="0"/>
        </w:rPr>
        <w:t xml:space="preserve">Просимо надіслати Вашу пропозицію не пізніше </w:t>
      </w:r>
      <w:r w:rsidDel="00000000" w:rsidR="00000000" w:rsidRPr="00000000">
        <w:rPr>
          <w:rFonts w:ascii="Times New Roman" w:cs="Times New Roman" w:eastAsia="Times New Roman" w:hAnsi="Times New Roman"/>
          <w:b w:val="1"/>
          <w:bCs w:val="1"/>
          <w:color w:val="0000cc"/>
          <w:sz w:val="24"/>
          <w:szCs w:val="24"/>
          <w:u w:val="single"/>
          <w:rtl w:val="0"/>
        </w:rPr>
        <w:t xml:space="preserve">14:00,  28 липня 2026 року</w:t>
      </w:r>
      <w:r w:rsidDel="00000000" w:rsidR="00000000" w:rsidRPr="00000000">
        <w:rPr>
          <w:rFonts w:ascii="Times New Roman" w:cs="Times New Roman" w:eastAsia="Times New Roman" w:hAnsi="Times New Roman"/>
          <w:b w:val="1"/>
          <w:bCs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bCs w:val="1"/>
          <w:color w:val="0000ff"/>
          <w:sz w:val="24"/>
          <w:szCs w:val="24"/>
          <w:rtl w:val="0"/>
        </w:rPr>
        <w:t xml:space="preserve"> </w:t>
      </w:r>
      <w:hyperlink r:id="rId8">
        <w:r w:rsidDel="00000000" w:rsidR="00000000" w:rsidRPr="00000000">
          <w:rPr>
            <w:rFonts w:ascii="Times New Roman" w:cs="Times New Roman" w:eastAsia="Times New Roman" w:hAnsi="Times New Roman"/>
            <w:b w:val="1"/>
            <w:bCs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B">
      <w:pPr>
        <w:widowControl w:val="0"/>
        <w:spacing w:after="0" w:line="240" w:lineRule="auto"/>
        <w:ind w:hanging="2"/>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D">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E">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1F">
      <w:pPr>
        <w:widowControl w:val="0"/>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widowControl w:val="0"/>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widowControl w:val="0"/>
        <w:spacing w:after="0" w:lineRule="auto"/>
        <w:rPr>
          <w:rFonts w:ascii="Times New Roman" w:cs="Times New Roman" w:eastAsia="Times New Roman" w:hAnsi="Times New Roman"/>
          <w:sz w:val="20"/>
          <w:szCs w:val="20"/>
        </w:rPr>
      </w:pPr>
      <w:bookmarkStart w:colFirst="0" w:colLast="0" w:name="_heading=h.1fob9te" w:id="3"/>
      <w:bookmarkEnd w:id="3"/>
      <w:r w:rsidDel="00000000" w:rsidR="00000000" w:rsidRPr="00000000">
        <w:rPr>
          <w:rFonts w:ascii="Times New Roman" w:cs="Times New Roman" w:eastAsia="Times New Roman" w:hAnsi="Times New Roman"/>
          <w:sz w:val="20"/>
          <w:szCs w:val="20"/>
          <w:rtl w:val="0"/>
        </w:rPr>
        <w:t xml:space="preserve">Щодо питань тендерних процедур, ви можете звертатись за електронною адресою: </w:t>
      </w:r>
      <w:hyperlink r:id="rId9">
        <w:r w:rsidDel="00000000" w:rsidR="00000000" w:rsidRPr="00000000">
          <w:rPr>
            <w:rFonts w:ascii="Times New Roman" w:cs="Times New Roman" w:eastAsia="Times New Roman" w:hAnsi="Times New Roman"/>
            <w:b w:val="1"/>
            <w:bCs w:val="1"/>
            <w:color w:val="1155cc"/>
            <w:sz w:val="20"/>
            <w:szCs w:val="20"/>
            <w:highlight w:val="white"/>
            <w:u w:val="single"/>
            <w:rtl w:val="0"/>
          </w:rPr>
          <w:t xml:space="preserve">m.terletska@r2p.org.ua</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2">
      <w:pPr>
        <w:widowControl w:val="0"/>
        <w:spacing w:after="0" w:lineRule="auto"/>
        <w:rPr>
          <w:rFonts w:ascii="Times New Roman" w:cs="Times New Roman" w:eastAsia="Times New Roman" w:hAnsi="Times New Roman"/>
          <w:sz w:val="20"/>
          <w:szCs w:val="20"/>
          <w:highlight w:val="white"/>
        </w:rPr>
      </w:pPr>
      <w:bookmarkStart w:colFirst="0" w:colLast="0" w:name="_heading=h.xezrc38yw2r1" w:id="4"/>
      <w:bookmarkEnd w:id="4"/>
      <w:r w:rsidDel="00000000" w:rsidR="00000000" w:rsidRPr="00000000">
        <w:rPr>
          <w:rFonts w:ascii="Times New Roman" w:cs="Times New Roman" w:eastAsia="Times New Roman" w:hAnsi="Times New Roman"/>
          <w:sz w:val="20"/>
          <w:szCs w:val="20"/>
          <w:rtl w:val="0"/>
        </w:rPr>
        <w:br w:type="textWrapping"/>
        <w:t xml:space="preserve">З технічних питань проведення тренінгів ви можете звернутись: Олени Шилобрид</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b w:val="1"/>
          <w:bCs w:val="1"/>
          <w:color w:val="1155cc"/>
          <w:sz w:val="20"/>
          <w:szCs w:val="20"/>
          <w:highlight w:val="white"/>
          <w:u w:val="single"/>
          <w:rtl w:val="0"/>
        </w:rPr>
        <w:t xml:space="preserve">o.shylobryd@r2p.org.ua</w:t>
      </w:r>
      <w:r w:rsidDel="00000000" w:rsidR="00000000" w:rsidRPr="00000000">
        <w:rPr>
          <w:rFonts w:ascii="Times New Roman" w:cs="Times New Roman" w:eastAsia="Times New Roman" w:hAnsi="Times New Roman"/>
          <w:b w:val="1"/>
          <w:bCs w:val="1"/>
          <w:sz w:val="20"/>
          <w:szCs w:val="20"/>
          <w:highlight w:val="white"/>
          <w:u w:val="single"/>
          <w:rtl w:val="0"/>
        </w:rPr>
        <w:t xml:space="preserve"> </w:t>
      </w:r>
      <w:r w:rsidDel="00000000" w:rsidR="00000000" w:rsidRPr="00000000">
        <w:rPr>
          <w:rFonts w:ascii="Times New Roman" w:cs="Times New Roman" w:eastAsia="Times New Roman" w:hAnsi="Times New Roman"/>
          <w:sz w:val="20"/>
          <w:szCs w:val="20"/>
          <w:highlight w:val="white"/>
          <w:rtl w:val="0"/>
        </w:rPr>
        <w:br w:type="textWrapping"/>
      </w:r>
    </w:p>
    <w:p w:rsidR="00000000" w:rsidDel="00000000" w:rsidP="00000000" w:rsidRDefault="00000000" w:rsidRPr="00000000" w14:paraId="00000023">
      <w:pPr>
        <w:widowControl w:val="0"/>
        <w:spacing w:after="0" w:lineRule="auto"/>
        <w:rPr>
          <w:rFonts w:ascii="Times New Roman" w:cs="Times New Roman" w:eastAsia="Times New Roman" w:hAnsi="Times New Roman"/>
          <w:sz w:val="20"/>
          <w:szCs w:val="20"/>
        </w:rPr>
      </w:pPr>
      <w:bookmarkStart w:colFirst="0" w:colLast="0" w:name="_heading=h.7hto4ufskps1" w:id="5"/>
      <w:bookmarkEnd w:id="5"/>
      <w:r w:rsidDel="00000000" w:rsidR="00000000" w:rsidRPr="00000000">
        <w:rPr>
          <w:rFonts w:ascii="Times New Roman" w:cs="Times New Roman" w:eastAsia="Times New Roman" w:hAnsi="Times New Roman"/>
          <w:sz w:val="18"/>
          <w:szCs w:val="18"/>
          <w:rtl w:val="0"/>
        </w:rPr>
        <w:br w:type="textWrapping"/>
      </w:r>
      <w:r w:rsidDel="00000000" w:rsidR="00000000" w:rsidRPr="00000000">
        <w:rPr>
          <w:rFonts w:ascii="Times New Roman" w:cs="Times New Roman" w:eastAsia="Times New Roman" w:hAnsi="Times New Roman"/>
          <w:sz w:val="16"/>
          <w:szCs w:val="16"/>
          <w:rtl w:val="0"/>
        </w:rPr>
        <w:tab/>
        <w:tab/>
      </w:r>
      <w:r w:rsidDel="00000000" w:rsidR="00000000" w:rsidRPr="00000000">
        <w:rPr>
          <w:rtl w:val="0"/>
        </w:rPr>
      </w:r>
    </w:p>
    <w:p w:rsidR="00000000" w:rsidDel="00000000" w:rsidP="00000000" w:rsidRDefault="00000000" w:rsidRPr="00000000" w14:paraId="00000024">
      <w:pPr>
        <w:widowControl w:val="0"/>
        <w:spacing w:after="0" w:lineRule="auto"/>
        <w:rPr>
          <w:rFonts w:ascii="Times New Roman" w:cs="Times New Roman" w:eastAsia="Times New Roman" w:hAnsi="Times New Roman"/>
          <w:color w:val="1155cc"/>
          <w:sz w:val="20"/>
          <w:szCs w:val="20"/>
          <w:u w:val="single"/>
        </w:rPr>
      </w:pPr>
      <w:r w:rsidDel="00000000" w:rsidR="00000000" w:rsidRPr="00000000">
        <w:rPr>
          <w:rFonts w:ascii="Times New Roman" w:cs="Times New Roman" w:eastAsia="Times New Roman" w:hAnsi="Times New Roman"/>
          <w:sz w:val="20"/>
          <w:szCs w:val="20"/>
          <w:rtl w:val="0"/>
        </w:rPr>
        <w:t xml:space="preserve">Дякуємо за співпрацю!</w:t>
        <w:br w:type="textWrapping"/>
      </w:r>
      <w:r w:rsidDel="00000000" w:rsidR="00000000" w:rsidRPr="00000000">
        <w:rPr>
          <w:rtl w:val="0"/>
        </w:rPr>
      </w:r>
    </w:p>
    <w:p w:rsidR="00000000" w:rsidDel="00000000" w:rsidP="00000000" w:rsidRDefault="00000000" w:rsidRPr="00000000" w14:paraId="00000025">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повагою,</w:t>
        <w:tab/>
        <w:tab/>
        <w:tab/>
        <w:t xml:space="preserve">                                     Президент Олександр Галкін</w:t>
      </w:r>
    </w:p>
    <w:p w:rsidR="00000000" w:rsidDel="00000000" w:rsidP="00000000" w:rsidRDefault="00000000" w:rsidRPr="00000000" w14:paraId="00000026">
      <w:pPr>
        <w:widowControl w:val="0"/>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Тендерна документація затверджена:                                Головний менеджер  із закупівельної діяльності Прибатень Р.А.  </w:t>
      </w:r>
    </w:p>
    <w:p w:rsidR="00000000" w:rsidDel="00000000" w:rsidP="00000000" w:rsidRDefault="00000000" w:rsidRPr="00000000" w14:paraId="00000028">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A">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B">
      <w:pPr>
        <w:widowControl w:val="0"/>
        <w:spacing w:after="0" w:line="240" w:lineRule="auto"/>
        <w:ind w:hanging="2"/>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2C">
      <w:pPr>
        <w:widowControl w:val="0"/>
        <w:spacing w:after="0" w:line="240" w:lineRule="auto"/>
        <w:ind w:hanging="2"/>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D">
      <w:pPr>
        <w:widowControl w:val="0"/>
        <w:spacing w:after="0" w:line="240" w:lineRule="auto"/>
        <w:ind w:hanging="2"/>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w:t>
      </w:r>
    </w:p>
    <w:p w:rsidR="00000000" w:rsidDel="00000000" w:rsidP="00000000" w:rsidRDefault="00000000" w:rsidRPr="00000000" w14:paraId="0000002E">
      <w:pPr>
        <w:widowControl w:val="0"/>
        <w:spacing w:after="0" w:line="240" w:lineRule="auto"/>
        <w:ind w:hanging="2"/>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F">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6"/>
          <w:szCs w:val="16"/>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sidDel="00000000" w:rsidR="00000000" w:rsidRPr="00000000">
        <w:rPr>
          <w:rtl w:val="0"/>
        </w:rPr>
      </w:r>
    </w:p>
    <w:p w:rsidR="00000000" w:rsidDel="00000000" w:rsidP="00000000" w:rsidRDefault="00000000" w:rsidRPr="00000000" w14:paraId="00000030">
      <w:pPr>
        <w:widowControl w:val="0"/>
        <w:spacing w:after="0" w:lineRule="auto"/>
        <w:rPr>
          <w:rFonts w:ascii="Times New Roman" w:cs="Times New Roman" w:eastAsia="Times New Roman" w:hAnsi="Times New Roman"/>
          <w:sz w:val="16"/>
          <w:szCs w:val="16"/>
        </w:rPr>
      </w:pPr>
      <w:r w:rsidDel="00000000" w:rsidR="00000000" w:rsidRPr="00000000">
        <w:rPr>
          <w:rtl w:val="0"/>
        </w:rPr>
      </w:r>
    </w:p>
    <w:sectPr>
      <w:headerReference r:id="rId10" w:type="default"/>
      <w:footerReference r:id="rId11" w:type="default"/>
      <w:pgSz w:h="16838" w:w="11906" w:orient="portrait"/>
      <w:pgMar w:bottom="7" w:top="284" w:left="851" w:right="849" w:header="2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639"/>
        <w:tab w:val="left" w:leader="none"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widowControl w:val="0"/>
      <w:tabs>
        <w:tab w:val="center" w:leader="none" w:pos="4819"/>
        <w:tab w:val="right" w:leader="none" w:pos="9639"/>
      </w:tabs>
      <w:spacing w:after="0" w:line="240" w:lineRule="auto"/>
      <w:jc w:val="center"/>
      <w:rPr>
        <w:b w:val="1"/>
        <w:bCs w:val="1"/>
        <w:sz w:val="20"/>
        <w:szCs w:val="20"/>
        <w:highlight w:val="white"/>
      </w:rPr>
    </w:pPr>
    <w:r w:rsidDel="00000000" w:rsidR="00000000" w:rsidRPr="00000000">
      <w:rPr>
        <w:b w:val="1"/>
        <w:bCs w:val="1"/>
        <w:sz w:val="20"/>
        <w:szCs w:val="20"/>
        <w:highlight w:val="white"/>
        <w:rtl w:val="0"/>
      </w:rPr>
      <w:t xml:space="preserve">БЛАГОДІЙНА ОРГАНІЗАЦІЯ</w:t>
    </w:r>
    <w:r w:rsidDel="00000000" w:rsidR="00000000" w:rsidRPr="00000000">
      <w:drawing>
        <wp:anchor allowOverlap="1" behindDoc="1" distB="0" distT="0" distL="0" distR="0" hidden="0" layoutInCell="1" locked="0" relativeHeight="0" simplePos="0">
          <wp:simplePos x="0" y="0"/>
          <wp:positionH relativeFrom="column">
            <wp:posOffset>-266694</wp:posOffset>
          </wp:positionH>
          <wp:positionV relativeFrom="paragraph">
            <wp:posOffset>-89984</wp:posOffset>
          </wp:positionV>
          <wp:extent cx="1521460" cy="76454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21460" cy="764540"/>
                  </a:xfrm>
                  <a:prstGeom prst="rect"/>
                  <a:ln/>
                </pic:spPr>
              </pic:pic>
            </a:graphicData>
          </a:graphic>
        </wp:anchor>
      </w:drawing>
    </w:r>
  </w:p>
  <w:p w:rsidR="00000000" w:rsidDel="00000000" w:rsidP="00000000" w:rsidRDefault="00000000" w:rsidRPr="00000000" w14:paraId="00000032">
    <w:pPr>
      <w:widowControl w:val="0"/>
      <w:tabs>
        <w:tab w:val="center" w:leader="none" w:pos="4819"/>
        <w:tab w:val="right" w:leader="none" w:pos="9639"/>
      </w:tabs>
      <w:spacing w:after="0" w:line="240" w:lineRule="auto"/>
      <w:jc w:val="center"/>
      <w:rPr>
        <w:b w:val="1"/>
        <w:bCs w:val="1"/>
        <w:sz w:val="20"/>
        <w:szCs w:val="20"/>
        <w:highlight w:val="white"/>
      </w:rPr>
    </w:pPr>
    <w:r w:rsidDel="00000000" w:rsidR="00000000" w:rsidRPr="00000000">
      <w:rPr>
        <w:b w:val="1"/>
        <w:bCs w:val="1"/>
        <w:sz w:val="20"/>
        <w:szCs w:val="20"/>
        <w:highlight w:val="white"/>
        <w:rtl w:val="0"/>
      </w:rPr>
      <w:t xml:space="preserve">«БЛАГОДІЙНИЙ ФОНД «ПРАВО НА ЗАХИСТ»</w:t>
    </w:r>
  </w:p>
  <w:p w:rsidR="00000000" w:rsidDel="00000000" w:rsidP="00000000" w:rsidRDefault="00000000" w:rsidRPr="00000000" w14:paraId="00000033">
    <w:pPr>
      <w:widowControl w:val="0"/>
      <w:tabs>
        <w:tab w:val="center" w:leader="none" w:pos="4819"/>
        <w:tab w:val="right" w:leader="none" w:pos="9639"/>
      </w:tabs>
      <w:spacing w:after="0" w:line="240" w:lineRule="auto"/>
      <w:jc w:val="center"/>
      <w:rPr>
        <w:sz w:val="20"/>
        <w:szCs w:val="20"/>
        <w:highlight w:val="yellow"/>
      </w:rPr>
    </w:pPr>
    <w:r w:rsidDel="00000000" w:rsidR="00000000" w:rsidRPr="00000000">
      <w:rPr>
        <w:sz w:val="20"/>
        <w:szCs w:val="20"/>
        <w:highlight w:val="white"/>
        <w:rtl w:val="0"/>
      </w:rPr>
      <w:t xml:space="preserve">Юр. адреса: </w:t>
    </w:r>
    <w:r w:rsidDel="00000000" w:rsidR="00000000" w:rsidRPr="00000000">
      <w:rPr>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34">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35">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t:+38 044 337 17 62,  e-mail: </w:t>
    </w:r>
    <w:hyperlink r:id="rId2">
      <w:r w:rsidDel="00000000" w:rsidR="00000000" w:rsidRPr="00000000">
        <w:rPr>
          <w:sz w:val="20"/>
          <w:szCs w:val="20"/>
          <w:highlight w:val="white"/>
          <w:rtl w:val="0"/>
        </w:rPr>
        <w:t xml:space="preserve">r2p@r2p.org.ua</w:t>
      </w:r>
    </w:hyperlink>
    <w:r w:rsidDel="00000000" w:rsidR="00000000" w:rsidRPr="00000000">
      <w:rPr>
        <w:sz w:val="20"/>
        <w:szCs w:val="20"/>
        <w:highlight w:val="white"/>
        <w:rtl w:val="0"/>
      </w:rPr>
      <w:t xml:space="preserve">,</w:t>
    </w:r>
  </w:p>
  <w:p w:rsidR="00000000" w:rsidDel="00000000" w:rsidP="00000000" w:rsidRDefault="00000000" w:rsidRPr="00000000" w14:paraId="00000036">
    <w:pPr>
      <w:widowControl w:val="0"/>
      <w:tabs>
        <w:tab w:val="center" w:leader="none" w:pos="4819"/>
        <w:tab w:val="right" w:leader="none" w:pos="9639"/>
      </w:tabs>
      <w:spacing w:after="0" w:line="240" w:lineRule="auto"/>
      <w:jc w:val="center"/>
      <w:rPr>
        <w:color w:val="0053f0"/>
        <w:sz w:val="20"/>
        <w:szCs w:val="20"/>
      </w:rPr>
    </w:pPr>
    <w:r w:rsidDel="00000000" w:rsidR="00000000" w:rsidRPr="00000000">
      <w:rPr>
        <w:sz w:val="20"/>
        <w:szCs w:val="20"/>
        <w:highlight w:val="white"/>
        <w:rtl w:val="0"/>
      </w:rPr>
      <w:t xml:space="preserve">сайт: </w:t>
    </w:r>
    <w:hyperlink r:id="rId3">
      <w:r w:rsidDel="00000000" w:rsidR="00000000" w:rsidRPr="00000000">
        <w:rPr>
          <w:sz w:val="20"/>
          <w:szCs w:val="20"/>
          <w:highlight w:val="white"/>
          <w:u w:val="single"/>
          <w:rtl w:val="0"/>
        </w:rPr>
        <w:t xml:space="preserve">https://r2p.org.ua/</w:t>
      </w:r>
    </w:hyperlink>
    <w:r w:rsidDel="00000000" w:rsidR="00000000" w:rsidRPr="00000000">
      <w:rPr>
        <w:sz w:val="20"/>
        <w:szCs w:val="20"/>
        <w:highlight w:val="white"/>
        <w:rtl w:val="0"/>
      </w:rPr>
      <w:t xml:space="preserve"> код згідно з ЄДР</w:t>
    </w:r>
    <w:r w:rsidDel="00000000" w:rsidR="00000000" w:rsidRPr="00000000">
      <w:rPr>
        <w:color w:val="0053f0"/>
        <w:sz w:val="20"/>
        <w:szCs w:val="2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-927714</wp:posOffset>
          </wp:positionH>
          <wp:positionV relativeFrom="paragraph">
            <wp:posOffset>182965</wp:posOffset>
          </wp:positionV>
          <wp:extent cx="7853823" cy="106075"/>
          <wp:effectExtent b="0" l="0" r="0" t="0"/>
          <wp:wrapNone/>
          <wp:docPr id="2"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7853823" cy="106075"/>
                  </a:xfrm>
                  <a:prstGeom prst="rect"/>
                  <a:ln/>
                </pic:spPr>
              </pic:pic>
            </a:graphicData>
          </a:graphic>
        </wp:anchor>
      </w:drawing>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color w:val="0053f0"/>
        <w:sz w:val="20"/>
        <w:szCs w:val="20"/>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m.terletska@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s8asZIZXvWzBG5lKf3eLRWO+A==">CgMxLjAyCGguZ2pkZ3hzMg5oLnZ2MzUzMmw0bmY2azIOaC52N2phOGlqZmVicGEyCWguMWZvYjl0ZTIOaC54ZXpyYzM4eXcycjEyDmguN2h0bzR1ZnNrcHMxOAByITF4STltUHRJSFdHWEpxSEtkOGJxRm90aVpnekxqeENxaw==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