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0"/>
        <w:jc w:val="left"/>
        <w:rPr>
          <w:rFonts w:ascii="Times New Roman" w:cs="Times New Roman" w:eastAsia="Times New Roman" w:hAnsi="Times New Roman"/>
          <w:b w:val="1"/>
          <w:bCs w:val="1"/>
          <w:i w:val="0"/>
          <w:iCs w:val="0"/>
          <w:smallCaps w:val="0"/>
          <w:strike w:val="0"/>
          <w:color w:val="000000"/>
          <w:highlight w:val="white"/>
          <w:u w:val="none"/>
          <w:vertAlign w:val="baseline"/>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5448300</wp:posOffset>
            </wp:positionH>
            <wp:positionV relativeFrom="page">
              <wp:posOffset>428625</wp:posOffset>
            </wp:positionV>
            <wp:extent cx="1743710" cy="1154430"/>
            <wp:effectExtent b="0" l="0" r="0" t="0"/>
            <wp:wrapNone/>
            <wp:docPr descr="C:\Users\sidorkova\Desktop\Logo UKR.jpg" id="1" name="image1.jpg"/>
            <a:graphic>
              <a:graphicData uri="http://schemas.openxmlformats.org/drawingml/2006/picture">
                <pic:pic>
                  <pic:nvPicPr>
                    <pic:cNvPr descr="C:\Users\sidorkova\Desktop\Logo UKR.jpg" id="0" name="image1.jpg"/>
                    <pic:cNvPicPr preferRelativeResize="0"/>
                  </pic:nvPicPr>
                  <pic:blipFill>
                    <a:blip r:embed="rId7"/>
                    <a:srcRect b="0" l="0" r="0" t="0"/>
                    <a:stretch>
                      <a:fillRect/>
                    </a:stretch>
                  </pic:blipFill>
                  <pic:spPr>
                    <a:xfrm>
                      <a:off x="0" y="0"/>
                      <a:ext cx="1743710" cy="115443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05">
      <w:pPr>
        <w:spacing w:after="120" w:lineRule="auto"/>
        <w:ind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Технічне завдання для закупівлі послуги</w:t>
      </w:r>
    </w:p>
    <w:p w:rsidR="00000000" w:rsidDel="00000000" w:rsidP="00000000" w:rsidRDefault="00000000" w:rsidRPr="00000000" w14:paraId="00000006">
      <w:pPr>
        <w:ind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з проведення серії онлайн тренінгів з публічних інвестицій, СПІ та  роботи в системі DREAM для громад від Благодійного Фонду “Право на Захист”</w:t>
      </w:r>
    </w:p>
    <w:p w:rsidR="00000000" w:rsidDel="00000000" w:rsidP="00000000" w:rsidRDefault="00000000" w:rsidRPr="00000000" w14:paraId="00000007">
      <w:pPr>
        <w:ind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08">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Благодійна організація «БЛАГОДІЙНИЙ ФОНД «ПРАВО НА ЗАХИСТ» запрошує до участі в тендері з відбору експерта/експертки або команди експертів з проведення серії онлайн тренінгів з публічних інвестицій, СПІ та  роботи в системі DREAM для громад .</w:t>
      </w:r>
    </w:p>
    <w:p w:rsidR="00000000" w:rsidDel="00000000" w:rsidP="00000000" w:rsidRDefault="00000000" w:rsidRPr="00000000" w14:paraId="00000009">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0A">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Формат: </w:t>
      </w:r>
      <w:r w:rsidDel="00000000" w:rsidR="00000000" w:rsidRPr="00000000">
        <w:rPr>
          <w:rFonts w:ascii="Times New Roman" w:cs="Times New Roman" w:eastAsia="Times New Roman" w:hAnsi="Times New Roman"/>
          <w:rtl w:val="0"/>
        </w:rPr>
        <w:t xml:space="preserve">онлайн – тренінги, 7 навчальних модулів</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не менше 4 годин </w:t>
      </w:r>
      <w:r w:rsidDel="00000000" w:rsidR="00000000" w:rsidRPr="00000000">
        <w:rPr>
          <w:rFonts w:ascii="Times New Roman" w:cs="Times New Roman" w:eastAsia="Times New Roman" w:hAnsi="Times New Roman"/>
          <w:rtl w:val="0"/>
        </w:rPr>
        <w:t xml:space="preserve">кожен</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0C">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Період надання послуг: </w:t>
      </w:r>
      <w:r w:rsidDel="00000000" w:rsidR="00000000" w:rsidRPr="00000000">
        <w:rPr>
          <w:rFonts w:ascii="Times New Roman" w:cs="Times New Roman" w:eastAsia="Times New Roman" w:hAnsi="Times New Roman"/>
          <w:highlight w:val="white"/>
          <w:rtl w:val="0"/>
        </w:rPr>
        <w:t xml:space="preserve">серпень 2026 року - жовтень 2026 року (точні дати будуть додатково узгоджені з замовником послуг)</w:t>
      </w:r>
    </w:p>
    <w:p w:rsidR="00000000" w:rsidDel="00000000" w:rsidP="00000000" w:rsidRDefault="00000000" w:rsidRPr="00000000" w14:paraId="0000000D">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0E">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Географія учасників проекту: </w:t>
      </w:r>
      <w:r w:rsidDel="00000000" w:rsidR="00000000" w:rsidRPr="00000000">
        <w:rPr>
          <w:rFonts w:ascii="Times New Roman" w:cs="Times New Roman" w:eastAsia="Times New Roman" w:hAnsi="Times New Roman"/>
          <w:highlight w:val="white"/>
          <w:rtl w:val="0"/>
        </w:rPr>
        <w:t xml:space="preserve">громади Дніпропетровської області</w:t>
      </w:r>
    </w:p>
    <w:p w:rsidR="00000000" w:rsidDel="00000000" w:rsidP="00000000" w:rsidRDefault="00000000" w:rsidRPr="00000000" w14:paraId="0000000F">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10">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Цільова аудиторія: </w:t>
      </w:r>
      <w:r w:rsidDel="00000000" w:rsidR="00000000" w:rsidRPr="00000000">
        <w:rPr>
          <w:rFonts w:ascii="Times New Roman" w:cs="Times New Roman" w:eastAsia="Times New Roman" w:hAnsi="Times New Roman"/>
          <w:highlight w:val="white"/>
          <w:rtl w:val="0"/>
        </w:rPr>
        <w:t xml:space="preserve">представники органів місцевого самоврядування, комунальних підприємств та установ, відповідальні за планування, підготовку, супровід та реалізацію публічних інвестиційних проєктів і які працюють або планують працювати із системою DREAM.</w:t>
        <w:br w:type="textWrapping"/>
      </w:r>
      <w:r w:rsidDel="00000000" w:rsidR="00000000" w:rsidRPr="00000000">
        <w:rPr>
          <w:rFonts w:ascii="Times New Roman" w:cs="Times New Roman" w:eastAsia="Times New Roman" w:hAnsi="Times New Roman"/>
          <w:b w:val="1"/>
          <w:bCs w:val="1"/>
          <w:highlight w:val="white"/>
          <w:rtl w:val="0"/>
        </w:rPr>
        <w:br w:type="textWrapping"/>
        <w:t xml:space="preserve">Кількість учасників тренінгу - </w:t>
      </w:r>
      <w:r w:rsidDel="00000000" w:rsidR="00000000" w:rsidRPr="00000000">
        <w:rPr>
          <w:rFonts w:ascii="Times New Roman" w:cs="Times New Roman" w:eastAsia="Times New Roman" w:hAnsi="Times New Roman"/>
          <w:highlight w:val="white"/>
          <w:rtl w:val="0"/>
        </w:rPr>
        <w:t xml:space="preserve">до 20 учасників у кожному навчальному модулі.</w:t>
      </w:r>
    </w:p>
    <w:p w:rsidR="00000000" w:rsidDel="00000000" w:rsidP="00000000" w:rsidRDefault="00000000" w:rsidRPr="00000000" w14:paraId="00000011">
      <w:pPr>
        <w:ind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12">
      <w:pPr>
        <w:spacing w:after="12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u w:val="single"/>
          <w:rtl w:val="0"/>
        </w:rPr>
        <w:t xml:space="preserve">Детальний опис:</w:t>
        <w:br w:type="textWrapping"/>
      </w:r>
      <w:r w:rsidDel="00000000" w:rsidR="00000000" w:rsidRPr="00000000">
        <w:rPr>
          <w:rFonts w:ascii="Times New Roman" w:cs="Times New Roman" w:eastAsia="Times New Roman" w:hAnsi="Times New Roman"/>
          <w:highlight w:val="white"/>
          <w:rtl w:val="0"/>
        </w:rPr>
        <w:t xml:space="preserve">Провести навчання для представників органів місцевого самоврядування щодо підготовки, оцінювання та супроводу публічних інвестиційних проєктів відповідно до вимог реформи управління публічними інвестиціями та роботи в державній цифровій екосистемі DREAM.</w:t>
      </w:r>
    </w:p>
    <w:p w:rsidR="00000000" w:rsidDel="00000000" w:rsidP="00000000" w:rsidRDefault="00000000" w:rsidRPr="00000000" w14:paraId="00000013">
      <w:pPr>
        <w:spacing w:after="120"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Мета навчання:</w:t>
      </w:r>
      <w:r w:rsidDel="00000000" w:rsidR="00000000" w:rsidRPr="00000000">
        <w:rPr>
          <w:rFonts w:ascii="Times New Roman" w:cs="Times New Roman" w:eastAsia="Times New Roman" w:hAnsi="Times New Roman"/>
          <w:highlight w:val="white"/>
          <w:rtl w:val="0"/>
        </w:rPr>
        <w:t xml:space="preserve"> посилити спроможність громад вибудовувати повний цикл управління публічними інвестиціями, формувати середньостроковий план пріоритетних публічних інвестицій, пріоритизувати напрями та готувати якісні, фінансово обґрунтовані й готові до оцінювання проєкти в DREAM</w:t>
      </w:r>
    </w:p>
    <w:p w:rsidR="00000000" w:rsidDel="00000000" w:rsidP="00000000" w:rsidRDefault="00000000" w:rsidRPr="00000000" w14:paraId="00000014">
      <w:pPr>
        <w:spacing w:after="240" w:before="240"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Навчальна програма повинна складатися не менше ніж із 7 тематичних модулів, кожен з яких не менше 4 годин, що охоплюють такі теми:</w:t>
      </w:r>
    </w:p>
    <w:tbl>
      <w:tblPr>
        <w:tblStyle w:val="Table1"/>
        <w:tblW w:w="10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3885"/>
        <w:gridCol w:w="2565"/>
        <w:gridCol w:w="1425"/>
        <w:tblGridChange w:id="0">
          <w:tblGrid>
            <w:gridCol w:w="2400"/>
            <w:gridCol w:w="3885"/>
            <w:gridCol w:w="2565"/>
            <w:gridCol w:w="1425"/>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5">
            <w:pPr>
              <w:spacing w:line="276" w:lineRule="auto"/>
              <w:ind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Модуль</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6">
            <w:pPr>
              <w:spacing w:line="276" w:lineRule="auto"/>
              <w:ind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Ключовий зміст</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7">
            <w:pPr>
              <w:spacing w:line="276" w:lineRule="auto"/>
              <w:ind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Практичний результат</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18">
            <w:pPr>
              <w:spacing w:line="276" w:lineRule="auto"/>
              <w:ind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Тривалість</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9">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1. Архітектура системи управління публічними інвестиціями</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A">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Логіка реформи; ролі учасників; СПІ, галузеві портфелі та ЄПП; секторальна й експертна оцінка; зв’язок із бюджетним процесом; місце DREAM; типові причини відхилення проєктів.</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B">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Схема інвестиційного циклу громади; карта ролей і відповідальності.</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C">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r>
        <w:trPr>
          <w:cantSplit w:val="0"/>
          <w:trHeight w:val="2460"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D">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2. Формування середньострокового плану пріоритетних публічних інвестицій</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E">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Оновлені методичні рекомендації; трирічний горизонт; стратегічні цілі; сектори та підсектори; інструктивний лист; запити до секторальних підрозділів; рейтингування напрямів; SMART-показники; фінансові потреби; граничний обсяг; узгодження, затвердження та оприлюднення.</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F">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Фрагмент пропозиції до СПІ, рейтинговий список напрямів і календар рішень.</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0">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r>
        <w:trPr>
          <w:cantSplit w:val="0"/>
          <w:trHeight w:val="2385"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3. Ініціювання проєкту та робота в DREAM</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2">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Вибір сектору, підсектору й напряму; географія та КАТОТТГ; статуси; послідовність заповнення полів; алгоритми дій у разі необхідності редагування, видалення, розблокування або виникнення технічних помилок, з урахуванням ролей користувачів та процедур технічної підтримки DREAM</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3">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Створення чернетки проєкту та виправлення типових помилок.</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4">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r>
        <w:trPr>
          <w:cantSplit w:val="0"/>
          <w:trHeight w:val="1650"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5">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4. Стратегічне, соціальне, екологічне обґрунтування і попит</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6">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Відповідність стратегіям; Цілі сталого розвитку; базові й цільові показники; джерела даних; прогноз попиту; енергоефективність; безбар’єрність; інклюзивність; гендерна рівність.</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7">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Картка показників, попиту та доказового обґрунтування для власного кейсу.</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8">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r>
        <w:trPr>
          <w:cantSplit w:val="0"/>
          <w:trHeight w:val="1770"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9">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5. Альтернативи, технічні рішення та попереднє ТЕО</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Формування альтернатив; критерії порівняння; вибір оптимального варіанта; узгодження назви, технічного рішення та ПКД; проєкти без готової ПКД; структура попереднього та повного інвестиційного ТЕО.</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B">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Матриця альтернатив і каркас попереднього ТЕО.</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C">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r>
        <w:trPr>
          <w:cantSplit w:val="0"/>
          <w:trHeight w:val="2145"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D">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6. Економічне, фінансове та комерційне обґрунтування</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E">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Витрати життєвого циклу; визначення вартості без кошторису; економічні вигоди; фінансова спроможність і сталість; джерела та механізми фінансування; місцеві запозичення; оцінка ринку; Prozorro; потенційні постачальники.</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F">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Фінансова модель, матриця джерел фінансування та коротке комерційне обґрунтування.</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0">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r>
        <w:trPr>
          <w:cantSplit w:val="0"/>
          <w:trHeight w:val="2520" w:hRule="atLeast"/>
          <w:tblHeader w:val="0"/>
        </w:trPr>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1">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Модуль 7. Портфель, моніторинг, ризики та клініка складних кейсів</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Включення до СПІ та ЄПП; квартальний цикл; зміни вартості понад 10%; коригування ПКД; невідповідність назв у DREAM, ПКД і бюджетних документах; проєкти поза СПІ; екологічний податок; ризики; моніторинг реалізації СПІ; підготовка до оцінювання.</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Реєстр ризиків, моніторингова форма, чек-лист готовності та алгоритми дій за реальними кейсами.</w:t>
            </w:r>
          </w:p>
        </w:tc>
        <w:tc>
          <w:tcPr>
            <w:tcBorders>
              <w:top w:color="000000" w:space="0" w:sz="0" w:val="nil"/>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 менше 4 годин</w:t>
            </w:r>
          </w:p>
        </w:tc>
      </w:tr>
    </w:tbl>
    <w:p w:rsidR="00000000" w:rsidDel="00000000" w:rsidP="00000000" w:rsidRDefault="00000000" w:rsidRPr="00000000" w14:paraId="00000035">
      <w:pPr>
        <w:spacing w:after="240" w:before="240" w:lineRule="auto"/>
        <w:ind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Методологія проведення:</w:t>
      </w:r>
    </w:p>
    <w:p w:rsidR="00000000" w:rsidDel="00000000" w:rsidP="00000000" w:rsidRDefault="00000000" w:rsidRPr="00000000" w14:paraId="00000036">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       </w:t>
        <w:tab/>
      </w:r>
      <w:r w:rsidDel="00000000" w:rsidR="00000000" w:rsidRPr="00000000">
        <w:rPr>
          <w:rFonts w:ascii="Times New Roman" w:cs="Times New Roman" w:eastAsia="Times New Roman" w:hAnsi="Times New Roman"/>
          <w:highlight w:val="white"/>
          <w:rtl w:val="0"/>
        </w:rPr>
        <w:t xml:space="preserve">не менше 40% часу кожного модуля відводиться практичній роботі;</w:t>
      </w:r>
    </w:p>
    <w:p w:rsidR="00000000" w:rsidDel="00000000" w:rsidP="00000000" w:rsidRDefault="00000000" w:rsidRPr="00000000" w14:paraId="00000037">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міні-лекції поєднуються з демонстрацією DREAM, роботою в малих онлайн-групах, кейсами, опитуваннями та консультаціями;</w:t>
      </w:r>
    </w:p>
    <w:p w:rsidR="00000000" w:rsidDel="00000000" w:rsidP="00000000" w:rsidRDefault="00000000" w:rsidRPr="00000000" w14:paraId="00000038">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на початку проводиться вхідна діагностика, наприкінці — підсумкове оцінювання;</w:t>
      </w:r>
    </w:p>
    <w:p w:rsidR="00000000" w:rsidDel="00000000" w:rsidP="00000000" w:rsidRDefault="00000000" w:rsidRPr="00000000" w14:paraId="00000039">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складні правові та функціональні питання відокремлюються від питань, що потребують офіційного роз’яснення.</w:t>
      </w:r>
    </w:p>
    <w:p w:rsidR="00000000" w:rsidDel="00000000" w:rsidP="00000000" w:rsidRDefault="00000000" w:rsidRPr="00000000" w14:paraId="0000003A">
      <w:pPr>
        <w:spacing w:line="276" w:lineRule="auto"/>
        <w:ind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Послуги, які має надати виконавець:</w:t>
      </w:r>
    </w:p>
    <w:p w:rsidR="00000000" w:rsidDel="00000000" w:rsidP="00000000" w:rsidRDefault="00000000" w:rsidRPr="00000000" w14:paraId="0000003C">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       </w:t>
        <w:tab/>
      </w:r>
      <w:r w:rsidDel="00000000" w:rsidR="00000000" w:rsidRPr="00000000">
        <w:rPr>
          <w:rFonts w:ascii="Times New Roman" w:cs="Times New Roman" w:eastAsia="Times New Roman" w:hAnsi="Times New Roman"/>
          <w:highlight w:val="white"/>
          <w:rtl w:val="0"/>
        </w:rPr>
        <w:t xml:space="preserve">деталізована програма і сценарій 7 онлайн-модулів;</w:t>
      </w:r>
    </w:p>
    <w:p w:rsidR="00000000" w:rsidDel="00000000" w:rsidP="00000000" w:rsidRDefault="00000000" w:rsidRPr="00000000" w14:paraId="0000003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презентації та навчально-методичні матеріали;</w:t>
      </w:r>
    </w:p>
    <w:p w:rsidR="00000000" w:rsidDel="00000000" w:rsidP="00000000" w:rsidRDefault="00000000" w:rsidRPr="00000000" w14:paraId="0000003E">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анкета для пре- та посттестування;</w:t>
      </w:r>
    </w:p>
    <w:p w:rsidR="00000000" w:rsidDel="00000000" w:rsidP="00000000" w:rsidRDefault="00000000" w:rsidRPr="00000000" w14:paraId="0000003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проведення 7 онлайн-модулів тривалістю не менше 4 годин кожен;</w:t>
      </w:r>
    </w:p>
    <w:p w:rsidR="00000000" w:rsidDel="00000000" w:rsidP="00000000" w:rsidRDefault="00000000" w:rsidRPr="00000000" w14:paraId="0000004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tab/>
        <w:t xml:space="preserve">короткий підсумковий звіт із рекомендаціями.</w:t>
      </w:r>
    </w:p>
    <w:p w:rsidR="00000000" w:rsidDel="00000000" w:rsidP="00000000" w:rsidRDefault="00000000" w:rsidRPr="00000000" w14:paraId="00000041">
      <w:pPr>
        <w:ind w:firstLine="0"/>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42">
      <w:pPr>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 Результат надання послуги: </w:t>
      </w:r>
      <w:r w:rsidDel="00000000" w:rsidR="00000000" w:rsidRPr="00000000">
        <w:rPr>
          <w:rFonts w:ascii="Times New Roman" w:cs="Times New Roman" w:eastAsia="Times New Roman" w:hAnsi="Times New Roman"/>
          <w:highlight w:val="white"/>
          <w:rtl w:val="0"/>
        </w:rPr>
        <w:t xml:space="preserve">проведено комплексне навчання, яке складалося не менше ніж із семи навчальних модулів та поєднувало теоретичну і практичну складові.</w:t>
      </w:r>
    </w:p>
    <w:p w:rsidR="00000000" w:rsidDel="00000000" w:rsidP="00000000" w:rsidRDefault="00000000" w:rsidRPr="00000000" w14:paraId="00000043">
      <w:pPr>
        <w:spacing w:line="276" w:lineRule="auto"/>
        <w:ind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tl w:val="0"/>
        </w:rPr>
      </w:r>
    </w:p>
    <w:p w:rsidR="00000000" w:rsidDel="00000000" w:rsidP="00000000" w:rsidRDefault="00000000" w:rsidRPr="00000000" w14:paraId="00000044">
      <w:pPr>
        <w:spacing w:line="276" w:lineRule="auto"/>
        <w:ind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За результатами навчання учасники отримають:</w:t>
      </w:r>
    </w:p>
    <w:p w:rsidR="00000000" w:rsidDel="00000000" w:rsidP="00000000" w:rsidRDefault="00000000" w:rsidRPr="00000000" w14:paraId="00000045">
      <w:pPr>
        <w:spacing w:line="276" w:lineRule="auto"/>
        <w:ind w:left="72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розуміння повного циклу управління публічними інвестиціями в громаді;</w:t>
      </w:r>
    </w:p>
    <w:p w:rsidR="00000000" w:rsidDel="00000000" w:rsidP="00000000" w:rsidRDefault="00000000" w:rsidRPr="00000000" w14:paraId="00000046">
      <w:pPr>
        <w:spacing w:line="276" w:lineRule="auto"/>
        <w:ind w:left="72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підготовлену дорожню карту формування, затвердження та моніторингу СПІ;</w:t>
      </w:r>
    </w:p>
    <w:p w:rsidR="00000000" w:rsidDel="00000000" w:rsidP="00000000" w:rsidRDefault="00000000" w:rsidRPr="00000000" w14:paraId="00000047">
      <w:pPr>
        <w:spacing w:line="276" w:lineRule="auto"/>
        <w:ind w:left="72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напрацьований рейтинговий перелік напрямів публічного інвестування;</w:t>
      </w:r>
    </w:p>
    <w:p w:rsidR="00000000" w:rsidDel="00000000" w:rsidP="00000000" w:rsidRDefault="00000000" w:rsidRPr="00000000" w14:paraId="00000048">
      <w:pPr>
        <w:spacing w:line="276" w:lineRule="auto"/>
        <w:ind w:left="72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визначені цільові показники, індикатори та фінансові потреби;</w:t>
      </w:r>
    </w:p>
    <w:p w:rsidR="00000000" w:rsidDel="00000000" w:rsidP="00000000" w:rsidRDefault="00000000" w:rsidRPr="00000000" w14:paraId="00000049">
      <w:pPr>
        <w:spacing w:line="276" w:lineRule="auto"/>
        <w:ind w:left="72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сформовані альтернативи, бюджет життєвого циклу, ризики та джерела фінансування;</w:t>
      </w:r>
    </w:p>
    <w:p w:rsidR="00000000" w:rsidDel="00000000" w:rsidP="00000000" w:rsidRDefault="00000000" w:rsidRPr="00000000" w14:paraId="0000004A">
      <w:pPr>
        <w:spacing w:line="276" w:lineRule="auto"/>
        <w:ind w:left="720" w:hanging="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заповнений чек-лист готовності проєкту до оцінювання та включення</w:t>
      </w:r>
      <w:r w:rsidDel="00000000" w:rsidR="00000000" w:rsidRPr="00000000">
        <w:rPr>
          <w:rFonts w:ascii="Times New Roman" w:cs="Times New Roman" w:eastAsia="Times New Roman" w:hAnsi="Times New Roman"/>
          <w:highlight w:val="white"/>
          <w:rtl w:val="0"/>
        </w:rPr>
        <w:t xml:space="preserve"> до портфеля інвестиційних проєктів громади.</w:t>
      </w:r>
      <w:r w:rsidDel="00000000" w:rsidR="00000000" w:rsidRPr="00000000">
        <w:rPr>
          <w:rtl w:val="0"/>
        </w:rPr>
      </w:r>
    </w:p>
    <w:p w:rsidR="00000000" w:rsidDel="00000000" w:rsidP="00000000" w:rsidRDefault="00000000" w:rsidRPr="00000000" w14:paraId="0000004B">
      <w:pPr>
        <w:spacing w:line="276" w:lineRule="auto"/>
        <w:ind w:left="720" w:hanging="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C">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Умови співпраці:</w:t>
      </w:r>
    </w:p>
    <w:p w:rsidR="00000000" w:rsidDel="00000000" w:rsidP="00000000" w:rsidRDefault="00000000" w:rsidRPr="00000000" w14:paraId="0000004D">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Звертаємо увагу, що в межах реалізації проєкту до участі у тендері допускаються фізичні особи-підприємці 3 групи та юридичні особи, які не є платниками ПДВ. Пропозиція учасника має подаватися без ПДВ. Учасник повинен бути зареєстрований відповідно до чинного законодавства України.</w:t>
      </w:r>
    </w:p>
    <w:p w:rsidR="00000000" w:rsidDel="00000000" w:rsidP="00000000" w:rsidRDefault="00000000" w:rsidRPr="00000000" w14:paraId="0000004E">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Розрахунок з виконавцем може здійснюватися щомісячно на підставі Акту виконаних робіт. </w:t>
      </w:r>
    </w:p>
    <w:p w:rsidR="00000000" w:rsidDel="00000000" w:rsidP="00000000" w:rsidRDefault="00000000" w:rsidRPr="00000000" w14:paraId="0000004F">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анулювати тендер в будь-який час до заключення договору з надавачем послуг і не несе за це відповідальність.</w:t>
      </w:r>
    </w:p>
    <w:p w:rsidR="00000000" w:rsidDel="00000000" w:rsidP="00000000" w:rsidRDefault="00000000" w:rsidRPr="00000000" w14:paraId="00000050">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 не пізніше як 1 (один)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8">
        <w:r w:rsidDel="00000000" w:rsidR="00000000" w:rsidRPr="00000000">
          <w:rPr>
            <w:rFonts w:ascii="Times New Roman" w:cs="Times New Roman" w:eastAsia="Times New Roman" w:hAnsi="Times New Roman"/>
            <w:color w:val="1155cc"/>
            <w:highlight w:val="white"/>
            <w:u w:val="single"/>
            <w:rtl w:val="0"/>
          </w:rPr>
          <w:t xml:space="preserve">tender@r2p.org.ua</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1">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не має перебувати в процесі припинення діяльності ФОП або юридичної особи.</w:t>
      </w:r>
    </w:p>
    <w:p w:rsidR="00000000" w:rsidDel="00000000" w:rsidP="00000000" w:rsidRDefault="00000000" w:rsidRPr="00000000" w14:paraId="00000052">
      <w:pPr>
        <w:ind w:firstLine="0"/>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53">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Вимоги до виконавця:</w:t>
      </w:r>
    </w:p>
    <w:p w:rsidR="00000000" w:rsidDel="00000000" w:rsidP="00000000" w:rsidRDefault="00000000" w:rsidRPr="00000000" w14:paraId="00000054">
      <w:pPr>
        <w:ind w:firstLine="0"/>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55">
      <w:pPr>
        <w:ind w:left="566.9291338582675" w:hanging="566.929133858267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практичний досвід у сфері управління публічними інвестиціями, місцевих фінансів або підготовки інвестиційних проєктів;</w:t>
      </w:r>
    </w:p>
    <w:p w:rsidR="00000000" w:rsidDel="00000000" w:rsidP="00000000" w:rsidRDefault="00000000" w:rsidRPr="00000000" w14:paraId="00000056">
      <w:pPr>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досвід роботи з DREAM та підготовки/оцінювання </w:t>
      </w:r>
      <w:r w:rsidDel="00000000" w:rsidR="00000000" w:rsidRPr="00000000">
        <w:rPr>
          <w:rFonts w:ascii="Times New Roman" w:cs="Times New Roman" w:eastAsia="Times New Roman" w:hAnsi="Times New Roman"/>
          <w:highlight w:val="white"/>
          <w:rtl w:val="0"/>
        </w:rPr>
        <w:t xml:space="preserve">публічних інвестиційних проєктів</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57">
      <w:pPr>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знання чинної нормативної і методичної бази реформи;</w:t>
      </w:r>
    </w:p>
    <w:p w:rsidR="00000000" w:rsidDel="00000000" w:rsidP="00000000" w:rsidRDefault="00000000" w:rsidRPr="00000000" w14:paraId="00000058">
      <w:pPr>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досвід проведення онлайн-навчання для представників ОМС;</w:t>
      </w:r>
    </w:p>
    <w:p w:rsidR="00000000" w:rsidDel="00000000" w:rsidP="00000000" w:rsidRDefault="00000000" w:rsidRPr="00000000" w14:paraId="00000059">
      <w:pPr>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здатність працювати з реальними кейсами громад та надавати прикладні рішення.</w:t>
      </w:r>
    </w:p>
    <w:p w:rsidR="00000000" w:rsidDel="00000000" w:rsidP="00000000" w:rsidRDefault="00000000" w:rsidRPr="00000000" w14:paraId="0000005A">
      <w:pPr>
        <w:ind w:firstLine="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5B">
      <w:pPr>
        <w:ind w:firstLine="0"/>
        <w:jc w:val="both"/>
        <w:rPr>
          <w:rFonts w:ascii="Times New Roman" w:cs="Times New Roman" w:eastAsia="Times New Roman" w:hAnsi="Times New Roman"/>
          <w:b w:val="1"/>
          <w:bCs w:val="1"/>
          <w:highlight w:val="white"/>
          <w:u w:val="single"/>
        </w:rPr>
      </w:pPr>
      <w:r w:rsidDel="00000000" w:rsidR="00000000" w:rsidRPr="00000000">
        <w:rPr>
          <w:rFonts w:ascii="Times New Roman" w:cs="Times New Roman" w:eastAsia="Times New Roman" w:hAnsi="Times New Roman"/>
          <w:b w:val="1"/>
          <w:bCs w:val="1"/>
          <w:highlight w:val="white"/>
          <w:u w:val="single"/>
          <w:rtl w:val="0"/>
        </w:rPr>
        <w:t xml:space="preserve">Просимо надати пропозицію, яка включатиме:</w:t>
      </w:r>
    </w:p>
    <w:p w:rsidR="00000000" w:rsidDel="00000000" w:rsidP="00000000" w:rsidRDefault="00000000" w:rsidRPr="00000000" w14:paraId="0000005C">
      <w:pPr>
        <w:ind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5D">
      <w:pPr>
        <w:spacing w:after="160" w:before="40" w:line="256.8" w:lineRule="auto"/>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w:t>
      </w: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highlight w:val="white"/>
          <w:rtl w:val="0"/>
        </w:rPr>
        <w:t xml:space="preserve">Технічну пропозицію, що містить опис концепції проведення навчання, методологію викладання, підходи до організації практичної роботи учасників, а також очікувані результати навчання;</w:t>
      </w:r>
    </w:p>
    <w:p w:rsidR="00000000" w:rsidDel="00000000" w:rsidP="00000000" w:rsidRDefault="00000000" w:rsidRPr="00000000" w14:paraId="0000005E">
      <w:pPr>
        <w:spacing w:after="160" w:before="40" w:line="256.8" w:lineRule="auto"/>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highlight w:val="white"/>
          <w:rtl w:val="0"/>
        </w:rPr>
        <w:t xml:space="preserve">Деталізоване резюме виконавця (надавача послуг) (щонайменше за останні 5 років) із зазначенням кваліфікації, кількості років професійного досвіду, досвіду роботи у сфері публічних інвестицій та системи DREAM, а також досвіду проведення навчальних заходів за відповідною тематикою;</w:t>
      </w:r>
    </w:p>
    <w:p w:rsidR="00000000" w:rsidDel="00000000" w:rsidP="00000000" w:rsidRDefault="00000000" w:rsidRPr="00000000" w14:paraId="0000005F">
      <w:pPr>
        <w:spacing w:after="160" w:before="40" w:line="256.8" w:lineRule="auto"/>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highlight w:val="white"/>
          <w:rtl w:val="0"/>
        </w:rPr>
        <w:t xml:space="preserve">Детальну програму навчання із зазначенням тем кожного навчального модуля, їх тривалості, практичних завдань та очікуваних результатів навчання;</w:t>
      </w:r>
    </w:p>
    <w:p w:rsidR="00000000" w:rsidDel="00000000" w:rsidP="00000000" w:rsidRDefault="00000000" w:rsidRPr="00000000" w14:paraId="00000060">
      <w:pPr>
        <w:spacing w:after="160" w:before="40" w:line="256.8" w:lineRule="auto"/>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highlight w:val="white"/>
          <w:rtl w:val="0"/>
        </w:rPr>
        <w:t xml:space="preserve">Інформацію про досвід виконавця щодо співпраці з органами державної влади, органами місцевого самоврядування або іншими установами публічного сектору (договори, рекомендаційні листи, відгуки або інші підтвердні документи - за наявності);</w:t>
      </w:r>
    </w:p>
    <w:p w:rsidR="00000000" w:rsidDel="00000000" w:rsidP="00000000" w:rsidRDefault="00000000" w:rsidRPr="00000000" w14:paraId="00000061">
      <w:pPr>
        <w:spacing w:after="160" w:before="40" w:line="256.8" w:lineRule="auto"/>
        <w:ind w:left="1080" w:hanging="108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Fonts w:ascii="Times New Roman" w:cs="Times New Roman" w:eastAsia="Times New Roman" w:hAnsi="Times New Roman"/>
          <w:highlight w:val="white"/>
          <w:rtl w:val="0"/>
        </w:rPr>
        <w:t xml:space="preserve">Контактну інформацію та реєстраційні документи юридичної особи або фізичної особи-підприємця для укладення договору.</w:t>
      </w:r>
    </w:p>
    <w:p w:rsidR="00000000" w:rsidDel="00000000" w:rsidP="00000000" w:rsidRDefault="00000000" w:rsidRPr="00000000" w14:paraId="00000062">
      <w:pPr>
        <w:spacing w:line="256.8"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Також, просимо надати </w:t>
      </w:r>
      <w:r w:rsidDel="00000000" w:rsidR="00000000" w:rsidRPr="00000000">
        <w:rPr>
          <w:rFonts w:ascii="Times New Roman" w:cs="Times New Roman" w:eastAsia="Times New Roman" w:hAnsi="Times New Roman"/>
          <w:highlight w:val="white"/>
          <w:u w:val="single"/>
          <w:rtl w:val="0"/>
        </w:rPr>
        <w:t xml:space="preserve">цінову пропозицію</w:t>
      </w:r>
      <w:r w:rsidDel="00000000" w:rsidR="00000000" w:rsidRPr="00000000">
        <w:rPr>
          <w:rFonts w:ascii="Times New Roman" w:cs="Times New Roman" w:eastAsia="Times New Roman" w:hAnsi="Times New Roman"/>
          <w:highlight w:val="white"/>
          <w:rtl w:val="0"/>
        </w:rPr>
        <w:t xml:space="preserve">, у якій зазначено загальну вартість надання послуги з проведення </w:t>
      </w:r>
      <w:r w:rsidDel="00000000" w:rsidR="00000000" w:rsidRPr="00000000">
        <w:rPr>
          <w:rFonts w:ascii="Times New Roman" w:cs="Times New Roman" w:eastAsia="Times New Roman" w:hAnsi="Times New Roman"/>
          <w:b w:val="1"/>
          <w:bCs w:val="1"/>
          <w:highlight w:val="white"/>
          <w:rtl w:val="0"/>
        </w:rPr>
        <w:t xml:space="preserve">серії онлайн тренінгів</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tl w:val="0"/>
        </w:rPr>
      </w:r>
    </w:p>
    <w:p w:rsidR="00000000" w:rsidDel="00000000" w:rsidP="00000000" w:rsidRDefault="00000000" w:rsidRPr="00000000" w14:paraId="00000063">
      <w:pPr>
        <w:spacing w:line="256.8" w:lineRule="auto"/>
        <w:ind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4">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Пропозиція повинна бути складена </w:t>
      </w:r>
      <w:r w:rsidDel="00000000" w:rsidR="00000000" w:rsidRPr="00000000">
        <w:rPr>
          <w:rFonts w:ascii="Times New Roman" w:cs="Times New Roman" w:eastAsia="Times New Roman" w:hAnsi="Times New Roman"/>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5">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6">
      <w:pPr>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1425"/>
        <w:gridCol w:w="6660"/>
        <w:gridCol w:w="1245"/>
        <w:tblGridChange w:id="0">
          <w:tblGrid>
            <w:gridCol w:w="570"/>
            <w:gridCol w:w="1425"/>
            <w:gridCol w:w="6660"/>
            <w:gridCol w:w="1245"/>
          </w:tblGrid>
        </w:tblGridChange>
      </w:tblGrid>
      <w:tr>
        <w:trPr>
          <w:cantSplit w:val="0"/>
          <w:trHeight w:val="525"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vAlign w:val="top"/>
          </w:tcPr>
          <w:p w:rsidR="00000000" w:rsidDel="00000000" w:rsidP="00000000" w:rsidRDefault="00000000" w:rsidRPr="00000000" w14:paraId="00000067">
            <w:pPr>
              <w:spacing w:before="240"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ШКАЛА ОЦІНКИ ЕРИТЕРІЇВ</w:t>
            </w:r>
          </w:p>
        </w:tc>
      </w:tr>
      <w:tr>
        <w:trPr>
          <w:cantSplit w:val="0"/>
          <w:trHeight w:val="94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vAlign w:val="top"/>
          </w:tcPr>
          <w:p w:rsidR="00000000" w:rsidDel="00000000" w:rsidP="00000000" w:rsidRDefault="00000000" w:rsidRPr="00000000" w14:paraId="0000006B">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vAlign w:val="top"/>
          </w:tcPr>
          <w:p w:rsidR="00000000" w:rsidDel="00000000" w:rsidP="00000000" w:rsidRDefault="00000000" w:rsidRPr="00000000" w14:paraId="0000006C">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Відповідність КРИТЕРІЯМ</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vAlign w:val="top"/>
          </w:tcPr>
          <w:p w:rsidR="00000000" w:rsidDel="00000000" w:rsidP="00000000" w:rsidRDefault="00000000" w:rsidRPr="00000000" w14:paraId="0000006D">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vAlign w:val="top"/>
          </w:tcPr>
          <w:p w:rsidR="00000000" w:rsidDel="00000000" w:rsidP="00000000" w:rsidRDefault="00000000" w:rsidRPr="00000000" w14:paraId="0000006E">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Максимальна кількість </w:t>
            </w:r>
          </w:p>
        </w:tc>
      </w:tr>
      <w:tr>
        <w:trPr>
          <w:cantSplit w:val="0"/>
          <w:trHeight w:val="98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6F">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070">
            <w:pPr>
              <w:spacing w:after="120" w:line="276" w:lineRule="auto"/>
              <w:ind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1">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Практичний досвід виконавця (надавача послуг) у проведенні навчальних заходів з питань публічних інвестицій, системи DREAM </w:t>
            </w:r>
          </w:p>
          <w:p w:rsidR="00000000" w:rsidDel="00000000" w:rsidP="00000000" w:rsidRDefault="00000000" w:rsidRPr="00000000" w14:paraId="00000072">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Кандидатом надано вичерпне, актуальне та структуроване резюме, яке детально підтверджує понад 5 років досвіду проведення тренінгів, навчальних програм або консультацій з питань публічних інвестицій, роботи із системою DREAM  для органів місцевого самоврядування, органів державної влади чи інших установ публічного сектору. Чітко описані ключові досягнення, наведено декілька прикладів реалізованих навчальних заходів із зазначенням тематики, цільової аудиторії, формату та географії проведення. Наявні рекомендаційні листи або інші підтверджуючі документи.</w:t>
            </w:r>
          </w:p>
          <w:p w:rsidR="00000000" w:rsidDel="00000000" w:rsidP="00000000" w:rsidRDefault="00000000" w:rsidRPr="00000000" w14:paraId="00000074">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Кандидатом надано достатньо повне та актуальне резюме, яке підтверджує щонайменше 5 років досвіду проведення навчальних заходів за зазначеною тематикою. Наведено приклади проведених тренінгів або консультацій із загальним описом тематики та цільової аудиторії. Наявні рекомендаційні листи або інші підтверджуючі документи.</w:t>
            </w:r>
          </w:p>
          <w:p w:rsidR="00000000" w:rsidDel="00000000" w:rsidP="00000000" w:rsidRDefault="00000000" w:rsidRPr="00000000" w14:paraId="00000075">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балів: Кандидатом надано резюме із узагальненою інформацією про досвід проведення навчальних заходів (3–5 років). Опис досвіду є обмеженим: відсутня деталізація проведених навчань, ролі виконавця або досягнутих результатів. Наявні окремі підтверджуючі документи, однак вони не дають повного уявлення про практичний досвід.</w:t>
            </w:r>
          </w:p>
          <w:p w:rsidR="00000000" w:rsidDel="00000000" w:rsidP="00000000" w:rsidRDefault="00000000" w:rsidRPr="00000000" w14:paraId="00000076">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Кандидатом надано резюме з обмеженим описом досвіду (1–3 роки), який лише частково підтверджує спроможність проводити навчання з питань публічних інвестицій, системи DREAM. Інформація про проведені навчальні заходи наведена загально, без конкретних прикладів, опису аудиторії чи результатів. Підтверджуючі документи відсутні або є мінімальними.</w:t>
            </w:r>
          </w:p>
          <w:p w:rsidR="00000000" w:rsidDel="00000000" w:rsidP="00000000" w:rsidRDefault="00000000" w:rsidRPr="00000000" w14:paraId="00000077">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Резюме не надано або надана інформація не дозволяє підтвердити наявність релевантного досвіду проведення навчальних заходів з питань публічних інвестицій, роботи із системою DREAM.</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8">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w:t>
            </w:r>
          </w:p>
        </w:tc>
      </w:tr>
      <w:tr>
        <w:trPr>
          <w:cantSplit w:val="0"/>
          <w:trHeight w:val="4796.1035156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79">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top"/>
          </w:tcPr>
          <w:p w:rsidR="00000000" w:rsidDel="00000000" w:rsidP="00000000" w:rsidRDefault="00000000" w:rsidRPr="00000000" w14:paraId="0000007A">
            <w:pPr>
              <w:spacing w:after="80" w:line="256.8" w:lineRule="auto"/>
              <w:ind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B">
            <w:pPr>
              <w:spacing w:after="80" w:line="256.8"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Співбесіда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Кандидат вчасно долучився, демонструє повне розуміння теми, чітко відповідає на всі запитання, повністю поділяє цінності Фонду.</w:t>
            </w:r>
          </w:p>
          <w:p w:rsidR="00000000" w:rsidDel="00000000" w:rsidP="00000000" w:rsidRDefault="00000000" w:rsidRPr="00000000" w14:paraId="0000007D">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Кандидат долучився до зустрічі, добре орієнтується у предметі, частково демонструє компетенції, відповіді переважно конкретні; поділяє цінності Фонду.</w:t>
            </w:r>
          </w:p>
          <w:p w:rsidR="00000000" w:rsidDel="00000000" w:rsidP="00000000" w:rsidRDefault="00000000" w:rsidRPr="00000000" w14:paraId="0000007E">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балів: Кандидат поверхнево орієнтується у темі, відповіді узагальнені; частково поділяє цінності Фонду.</w:t>
            </w:r>
          </w:p>
          <w:p w:rsidR="00000000" w:rsidDel="00000000" w:rsidP="00000000" w:rsidRDefault="00000000" w:rsidRPr="00000000" w14:paraId="0000007F">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Кандидат обмежено орієнтується у предметі, відповіді неповні або логічно непослідовні; частково розуміє цінності Фонду.</w:t>
            </w:r>
          </w:p>
          <w:p w:rsidR="00000000" w:rsidDel="00000000" w:rsidP="00000000" w:rsidRDefault="00000000" w:rsidRPr="00000000" w14:paraId="00000080">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Кандидат не долучився, не володіє інформацією про предмет тендеру, не демонструє розуміння цінностей Фонду.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1">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w:t>
            </w:r>
          </w:p>
        </w:tc>
      </w:tr>
      <w:tr>
        <w:trPr>
          <w:cantSplit w:val="0"/>
          <w:trHeight w:val="76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2">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083">
            <w:pPr>
              <w:spacing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4">
            <w:pPr>
              <w:spacing w:after="80" w:line="256.8" w:lineRule="auto"/>
              <w:ind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Програма тренінгу з зазначеної теми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Кандидатом надано повноцінну, логічно структуровану програму тренінгів, готову до практичного впровадження. Програма містить чітко визначену мету, послідовність навчальних модулів, деталізований опис тем, практичних завдань, методів навчання та очікуваних результатів. Передбачено практичну роботу із системою DREAM, аналіз кейсів, інтерактивні формати навчання та орієнтовний таймлайн проведення кожного модуля.</w:t>
            </w:r>
          </w:p>
          <w:p w:rsidR="00000000" w:rsidDel="00000000" w:rsidP="00000000" w:rsidRDefault="00000000" w:rsidRPr="00000000" w14:paraId="00000086">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Кандидатом надано структуровану програму тренінгів з визначеною метою, основними навчальними модулями та тематикою. Передбачено практичні елементи, формати роботи та орієнтовний таймлайн, однак окремі складові програми описані недостатньо детально.</w:t>
            </w:r>
          </w:p>
          <w:p w:rsidR="00000000" w:rsidDel="00000000" w:rsidP="00000000" w:rsidRDefault="00000000" w:rsidRPr="00000000" w14:paraId="00000087">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балів: Кандидатом надано загальну структуру програми тренінгів з описом основних модулів. Тематика, практичні завдання, методи навчання та формати роботи висвітлені частково або без достатньої деталізації.</w:t>
            </w:r>
          </w:p>
          <w:p w:rsidR="00000000" w:rsidDel="00000000" w:rsidP="00000000" w:rsidRDefault="00000000" w:rsidRPr="00000000" w14:paraId="00000088">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Надані матеріали є дотичними до тематики тренінгів, однак не формують цілісної програми. Відсутня чітка логіка побудови навчальних модулів, практичної складової або очікуваних результатів.</w:t>
            </w:r>
          </w:p>
          <w:p w:rsidR="00000000" w:rsidDel="00000000" w:rsidP="00000000" w:rsidRDefault="00000000" w:rsidRPr="00000000" w14:paraId="00000089">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Програми Тренінгів не надано або подані матеріали не відповідають тематиці закупівлі.</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A">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w:t>
            </w:r>
          </w:p>
        </w:tc>
      </w:tr>
      <w:tr>
        <w:trPr>
          <w:cantSplit w:val="0"/>
          <w:trHeight w:val="73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8B">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08C">
            <w:pPr>
              <w:spacing w:after="120" w:line="276" w:lineRule="auto"/>
              <w:ind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D">
            <w:pPr>
              <w:spacing w:after="12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Досвід співпраці виконавця (надавача послуг) з органами місцевого самоврядування, органами державної влади або іншими установами публічного сектору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балів: Кандидат надав документи, що підтверджують досвід співпраці з органами місцевого самоврядування, органами державної влади або іншими установами публічного сектору протягом понад 3 років (договори, акти виконаних робіт, рекомендаційні листи, листи-підтвердження, інформаційні матеріали, інші підтвердні документи). Практичний досвід супроводу підготовки, оцінювання або внесення публічних інвестиційних проєктів до DREAM.</w:t>
            </w:r>
          </w:p>
          <w:p w:rsidR="00000000" w:rsidDel="00000000" w:rsidP="00000000" w:rsidRDefault="00000000" w:rsidRPr="00000000" w14:paraId="0000008F">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балів: Кандидат надав документи, які частково підтверджують досвід співпраці із зазначеної теми  з органами місцевого самоврядування, органами державної влади або іншими установами публічного сектору понад 3 роки (наприклад, рекомендаційні листи, листи-підтвердження, інформаційні матеріали або інші документи), однак підтвердження є неповними або не охоплюють усіх заявлених видів діяльності.</w:t>
            </w:r>
          </w:p>
          <w:p w:rsidR="00000000" w:rsidDel="00000000" w:rsidP="00000000" w:rsidRDefault="00000000" w:rsidRPr="00000000" w14:paraId="00000090">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бали: Кандидат зазначив про наявність досвіду співпраці із зазначеної теми  з органами місцевого самоврядування, органами державної влади або іншими установами публічного сектору, однак не надав документів, що підтверджують відповідний досвід.</w:t>
            </w:r>
          </w:p>
          <w:p w:rsidR="00000000" w:rsidDel="00000000" w:rsidP="00000000" w:rsidRDefault="00000000" w:rsidRPr="00000000" w14:paraId="00000091">
            <w:pPr>
              <w:spacing w:after="240" w:before="240" w:line="276"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Кандидат не має підтвердженого досвіду співпраці із зазначеної теми з органами місцевого самоврядування, органами державної влади або іншими установами публічного сектору.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92">
            <w:pPr>
              <w:spacing w:after="120" w:line="276" w:lineRule="auto"/>
              <w:ind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w:t>
            </w:r>
          </w:p>
        </w:tc>
      </w:tr>
    </w:tbl>
    <w:p w:rsidR="00000000" w:rsidDel="00000000" w:rsidP="00000000" w:rsidRDefault="00000000" w:rsidRPr="00000000" w14:paraId="00000093">
      <w:pPr>
        <w:spacing w:after="120"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4">
      <w:pPr>
        <w:ind w:left="-140" w:right="-280" w:firstLine="14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Щодо </w:t>
      </w:r>
      <w:r w:rsidDel="00000000" w:rsidR="00000000" w:rsidRPr="00000000">
        <w:rPr>
          <w:rFonts w:ascii="Times New Roman" w:cs="Times New Roman" w:eastAsia="Times New Roman" w:hAnsi="Times New Roman"/>
          <w:b w:val="1"/>
          <w:bCs w:val="1"/>
          <w:highlight w:val="white"/>
          <w:u w:val="single"/>
          <w:rtl w:val="0"/>
        </w:rPr>
        <w:t xml:space="preserve">деталей надання послуги</w:t>
      </w:r>
      <w:r w:rsidDel="00000000" w:rsidR="00000000" w:rsidRPr="00000000">
        <w:rPr>
          <w:rFonts w:ascii="Times New Roman" w:cs="Times New Roman" w:eastAsia="Times New Roman" w:hAnsi="Times New Roman"/>
          <w:highlight w:val="white"/>
          <w:rtl w:val="0"/>
        </w:rPr>
        <w:t xml:space="preserve"> просимо звертатися до Олени Шилобрид </w:t>
      </w:r>
      <w:hyperlink r:id="rId9">
        <w:r w:rsidDel="00000000" w:rsidR="00000000" w:rsidRPr="00000000">
          <w:rPr>
            <w:rFonts w:ascii="Times New Roman" w:cs="Times New Roman" w:eastAsia="Times New Roman" w:hAnsi="Times New Roman"/>
            <w:color w:val="1155cc"/>
            <w:highlight w:val="white"/>
            <w:u w:val="single"/>
            <w:rtl w:val="0"/>
          </w:rPr>
          <w:t xml:space="preserve">o.shylobryd@r2p.org.ua</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5">
      <w:pPr>
        <w:spacing w:after="120" w:lineRule="auto"/>
        <w:ind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6">
      <w:pPr>
        <w:spacing w:after="120" w:lineRule="auto"/>
        <w:ind w:firstLine="0"/>
        <w:jc w:val="left"/>
        <w:rPr>
          <w:rFonts w:ascii="Times New Roman" w:cs="Times New Roman" w:eastAsia="Times New Roman" w:hAnsi="Times New Roman"/>
          <w:b w:val="1"/>
          <w:bCs w:val="1"/>
        </w:rPr>
      </w:pPr>
      <w:r w:rsidDel="00000000" w:rsidR="00000000" w:rsidRPr="00000000">
        <w:rPr>
          <w:rtl w:val="0"/>
        </w:rPr>
      </w:r>
    </w:p>
    <w:sectPr>
      <w:pgSz w:h="16834" w:w="11909" w:orient="portrait"/>
      <w:pgMar w:bottom="1090.0393700787413" w:top="850.3937007874016" w:left="992.1259842519685"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shylobryd@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ender@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SMY2o6TiHNStEoVWpAbRg6hwQ==">CgMxLjA4AGooChRzdWdnZXN0LmFnMHUxN204aXI1bRIQTWFyaWlhIFRlcmxldHNrYXIhMTB5MGZmZHhpSmNsekxyV1JDSWZGR3B5MFp4eDcxWG1O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