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9"/>
          <w:tab w:val="left" w:leader="none" w:pos="8661"/>
        </w:tabs>
        <w:spacing w:line="240" w:lineRule="auto"/>
        <w:ind w:firstLine="0"/>
        <w:rPr>
          <w:color w:val="0053f0"/>
          <w:sz w:val="20"/>
          <w:szCs w:val="20"/>
        </w:rPr>
      </w:pPr>
      <w:r w:rsidDel="00000000" w:rsidR="00000000" w:rsidRPr="00000000">
        <w:rPr>
          <w:color w:val="0053f0"/>
          <w:sz w:val="20"/>
          <w:szCs w:val="20"/>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right="-574" w:hanging="2"/>
        <w:jc w:val="left"/>
        <w:rPr>
          <w:b w:val="1"/>
          <w:bCs w:val="1"/>
          <w:sz w:val="20"/>
          <w:szCs w:val="20"/>
        </w:rPr>
      </w:pPr>
      <w:r w:rsidDel="00000000" w:rsidR="00000000" w:rsidRPr="00000000">
        <w:rPr>
          <w:sz w:val="20"/>
          <w:szCs w:val="20"/>
          <w:rtl w:val="0"/>
        </w:rPr>
        <w:t xml:space="preserve">16.06.2026</w:t>
      </w:r>
      <w:r w:rsidDel="00000000" w:rsidR="00000000" w:rsidRPr="00000000">
        <w:rPr>
          <w:b w:val="1"/>
          <w:bCs w:val="1"/>
          <w:sz w:val="20"/>
          <w:szCs w:val="20"/>
          <w:rtl w:val="0"/>
        </w:rPr>
        <w:br w:type="textWrapping"/>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0" w:right="-574" w:hanging="2"/>
        <w:jc w:val="center"/>
        <w:rPr>
          <w:rFonts w:ascii="Times New Roman" w:cs="Times New Roman" w:eastAsia="Times New Roman" w:hAnsi="Times New Roman"/>
          <w:b w:val="1"/>
          <w:bCs w:val="1"/>
        </w:rPr>
      </w:pPr>
      <w:r w:rsidDel="00000000" w:rsidR="00000000" w:rsidRPr="00000000">
        <w:rPr>
          <w:b w:val="1"/>
          <w:bCs w:val="1"/>
          <w:sz w:val="20"/>
          <w:szCs w:val="20"/>
          <w:rtl w:val="0"/>
        </w:rPr>
        <w:t xml:space="preserve">ЗАПРОШЕННЯ  ДО УЧАСТІ В ТЕНДЕРІ № </w:t>
      </w:r>
      <w:r w:rsidDel="00000000" w:rsidR="00000000" w:rsidRPr="00000000">
        <w:rPr>
          <w:rFonts w:ascii="Times New Roman" w:cs="Times New Roman" w:eastAsia="Times New Roman" w:hAnsi="Times New Roman"/>
          <w:b w:val="1"/>
          <w:bCs w:val="1"/>
          <w:rtl w:val="0"/>
        </w:rPr>
        <w:t xml:space="preserve">Q2-T287-LVP на виконання ландшафтних послуг</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right="-574" w:hanging="2"/>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widowControl w:val="0"/>
        <w:spacing w:after="200" w:line="259" w:lineRule="auto"/>
        <w:ind w:left="0" w:hanging="2"/>
        <w:jc w:val="center"/>
        <w:rPr>
          <w:sz w:val="20"/>
          <w:szCs w:val="20"/>
        </w:rPr>
      </w:pPr>
      <w:bookmarkStart w:colFirst="0" w:colLast="0" w:name="_heading=h.8ozpzi7470dg" w:id="0"/>
      <w:bookmarkEnd w:id="0"/>
      <w:r w:rsidDel="00000000" w:rsidR="00000000" w:rsidRPr="00000000">
        <w:rPr>
          <w:b w:val="1"/>
          <w:bCs w:val="1"/>
          <w:sz w:val="20"/>
          <w:szCs w:val="20"/>
          <w:u w:val="single"/>
          <w:rtl w:val="0"/>
        </w:rPr>
        <w:t xml:space="preserve">ДЕДЛАЙН: 19.06.2026. - 12:00 за Київським часом.</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89"/>
        <w:jc w:val="both"/>
        <w:rPr>
          <w:b w:val="1"/>
          <w:bCs w:val="1"/>
          <w:color w:val="000099"/>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Коротко про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r w:rsidDel="00000000" w:rsidR="00000000" w:rsidRPr="00000000">
        <w:rPr>
          <w:b w:val="1"/>
          <w:bCs w:val="1"/>
          <w:color w:val="000099"/>
          <w:sz w:val="20"/>
          <w:szCs w:val="20"/>
          <w:rtl w:val="0"/>
        </w:rPr>
        <w:br w:type="textWrapping"/>
      </w:r>
    </w:p>
    <w:p w:rsidR="00000000" w:rsidDel="00000000" w:rsidP="00000000" w:rsidRDefault="00000000" w:rsidRPr="00000000" w14:paraId="00000007">
      <w:pPr>
        <w:widowControl w:val="0"/>
        <w:spacing w:line="240" w:lineRule="auto"/>
        <w:ind w:firstLine="0"/>
        <w:jc w:val="both"/>
        <w:rPr>
          <w:sz w:val="20"/>
          <w:szCs w:val="20"/>
        </w:rPr>
      </w:pPr>
      <w:r w:rsidDel="00000000" w:rsidR="00000000" w:rsidRPr="00000000">
        <w:rPr>
          <w:b w:val="1"/>
          <w:bCs w:val="1"/>
          <w:sz w:val="20"/>
          <w:szCs w:val="20"/>
          <w:u w:val="single"/>
          <w:rtl w:val="0"/>
        </w:rPr>
        <w:t xml:space="preserve">ПОТРЕБИ:</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БФ «Право на Захист» запрошує вас до участі у конкурсному відборі на виконавця ландшафтних послуг, а саме:</w:t>
      </w:r>
      <w:r w:rsidDel="00000000" w:rsidR="00000000" w:rsidRPr="00000000">
        <w:rPr>
          <w:rtl w:val="0"/>
        </w:rPr>
      </w:r>
    </w:p>
    <w:p w:rsidR="00000000" w:rsidDel="00000000" w:rsidP="00000000" w:rsidRDefault="00000000" w:rsidRPr="00000000" w14:paraId="00000008">
      <w:pPr>
        <w:widowControl w:val="0"/>
        <w:spacing w:line="240" w:lineRule="auto"/>
        <w:ind w:firstLine="0"/>
        <w:jc w:val="both"/>
        <w:rPr>
          <w:sz w:val="20"/>
          <w:szCs w:val="20"/>
        </w:rPr>
      </w:pPr>
      <w:r w:rsidDel="00000000" w:rsidR="00000000" w:rsidRPr="00000000">
        <w:rPr>
          <w:rtl w:val="0"/>
        </w:rPr>
      </w:r>
    </w:p>
    <w:p w:rsidR="00000000" w:rsidDel="00000000" w:rsidP="00000000" w:rsidRDefault="00000000" w:rsidRPr="00000000" w14:paraId="00000009">
      <w:pPr>
        <w:spacing w:line="240" w:lineRule="auto"/>
        <w:ind w:left="-2"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Стрижка живоплоту у Голосіївському парку імені Максима Рильського в м.Києві, довжиною 500 метрів, висотою приблизно 0,9 метра, шириною приблизно 0,6 метра у формі "живого лабіринту".</w:t>
      </w:r>
    </w:p>
    <w:p w:rsidR="00000000" w:rsidDel="00000000" w:rsidP="00000000" w:rsidRDefault="00000000" w:rsidRPr="00000000" w14:paraId="0000000A">
      <w:pPr>
        <w:spacing w:line="240" w:lineRule="auto"/>
        <w:ind w:hanging="2"/>
        <w:jc w:val="both"/>
        <w:rPr>
          <w:sz w:val="20"/>
          <w:szCs w:val="20"/>
        </w:rPr>
      </w:pPr>
      <w:r w:rsidDel="00000000" w:rsidR="00000000" w:rsidRPr="00000000">
        <w:rPr>
          <w:rFonts w:ascii="Times New Roman" w:cs="Times New Roman" w:eastAsia="Times New Roman" w:hAnsi="Times New Roman"/>
          <w:b w:val="1"/>
          <w:bCs w:val="1"/>
          <w:i w:val="1"/>
          <w:iCs w:val="1"/>
          <w:rtl w:val="0"/>
        </w:rPr>
        <w:t xml:space="preserve">Локація "живий лабіринт" створена в 2022 році, але втратила свою форму і вигляд, потребує професійної стрижки спеціалістом у короткий термін (до 30.06.2026 року включно)</w:t>
      </w:r>
      <w:r w:rsidDel="00000000" w:rsidR="00000000" w:rsidRPr="00000000">
        <w:rPr>
          <w:rtl w:val="0"/>
        </w:rPr>
      </w:r>
    </w:p>
    <w:p w:rsidR="00000000" w:rsidDel="00000000" w:rsidP="00000000" w:rsidRDefault="00000000" w:rsidRPr="00000000" w14:paraId="0000000B">
      <w:pPr>
        <w:widowControl w:val="0"/>
        <w:spacing w:line="240" w:lineRule="auto"/>
        <w:ind w:firstLine="0"/>
        <w:jc w:val="both"/>
        <w:rPr>
          <w:sz w:val="20"/>
          <w:szCs w:val="20"/>
        </w:rPr>
      </w:pPr>
      <w:r w:rsidDel="00000000" w:rsidR="00000000" w:rsidRPr="00000000">
        <w:rPr>
          <w:rtl w:val="0"/>
        </w:rPr>
      </w:r>
    </w:p>
    <w:p w:rsidR="00000000" w:rsidDel="00000000" w:rsidP="00000000" w:rsidRDefault="00000000" w:rsidRPr="00000000" w14:paraId="0000000C">
      <w:pPr>
        <w:spacing w:line="240" w:lineRule="auto"/>
        <w:ind w:hanging="2"/>
        <w:rPr>
          <w:sz w:val="20"/>
          <w:szCs w:val="20"/>
        </w:rPr>
      </w:pPr>
      <w:bookmarkStart w:colFirst="0" w:colLast="0" w:name="_heading=h.n86rvjt5h4vv" w:id="1"/>
      <w:bookmarkEnd w:id="1"/>
      <w:r w:rsidDel="00000000" w:rsidR="00000000" w:rsidRPr="00000000">
        <w:rPr>
          <w:rFonts w:ascii="Times New Roman" w:cs="Times New Roman" w:eastAsia="Times New Roman" w:hAnsi="Times New Roman"/>
        </w:rPr>
        <w:drawing>
          <wp:inline distB="0" distT="0" distL="0" distR="0">
            <wp:extent cx="4516580" cy="255285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516580" cy="25528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0"/>
        <w:spacing w:line="240" w:lineRule="auto"/>
        <w:ind w:firstLine="0"/>
        <w:jc w:val="both"/>
        <w:rPr>
          <w:sz w:val="20"/>
          <w:szCs w:val="20"/>
        </w:rPr>
      </w:pPr>
      <w:r w:rsidDel="00000000" w:rsidR="00000000" w:rsidRPr="00000000">
        <w:rPr>
          <w:rtl w:val="0"/>
        </w:rPr>
      </w:r>
    </w:p>
    <w:p w:rsidR="00000000" w:rsidDel="00000000" w:rsidP="00000000" w:rsidRDefault="00000000" w:rsidRPr="00000000" w14:paraId="0000000E">
      <w:pPr>
        <w:widowControl w:val="0"/>
        <w:spacing w:line="240" w:lineRule="auto"/>
        <w:ind w:firstLine="0"/>
        <w:jc w:val="both"/>
        <w:rPr>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firstLine="0"/>
        <w:jc w:val="both"/>
        <w:rPr>
          <w:sz w:val="20"/>
          <w:szCs w:val="20"/>
        </w:rPr>
      </w:pPr>
      <w:r w:rsidDel="00000000" w:rsidR="00000000" w:rsidRPr="00000000">
        <w:rPr>
          <w:rtl w:val="0"/>
        </w:rPr>
      </w:r>
    </w:p>
    <w:p w:rsidR="00000000" w:rsidDel="00000000" w:rsidP="00000000" w:rsidRDefault="00000000" w:rsidRPr="00000000" w14:paraId="00000010">
      <w:pPr>
        <w:widowControl w:val="0"/>
        <w:spacing w:line="240" w:lineRule="auto"/>
        <w:ind w:firstLine="0"/>
        <w:jc w:val="both"/>
        <w:rPr>
          <w:sz w:val="20"/>
          <w:szCs w:val="20"/>
        </w:rPr>
      </w:pPr>
      <w:r w:rsidDel="00000000" w:rsidR="00000000" w:rsidRPr="00000000">
        <w:rPr>
          <w:rtl w:val="0"/>
        </w:rPr>
      </w:r>
    </w:p>
    <w:p w:rsidR="00000000" w:rsidDel="00000000" w:rsidP="00000000" w:rsidRDefault="00000000" w:rsidRPr="00000000" w14:paraId="00000011">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в конкурсному відборі просимо надати</w:t>
        <w:br w:type="textWrapping"/>
        <w:br w:type="textWrapping"/>
        <w:t xml:space="preserve">1. Додаток А згідно встановленого зразка</w:t>
        <w:br w:type="textWrapping"/>
        <w:t xml:space="preserve">2. Додаток В фінансова пропозиція згідно зразка</w:t>
      </w:r>
    </w:p>
    <w:p w:rsidR="00000000" w:rsidDel="00000000" w:rsidP="00000000" w:rsidRDefault="00000000" w:rsidRPr="00000000" w14:paraId="00000012">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Реєстраційні документи</w:t>
      </w:r>
    </w:p>
    <w:p w:rsidR="00000000" w:rsidDel="00000000" w:rsidP="00000000" w:rsidRDefault="00000000" w:rsidRPr="00000000" w14:paraId="00000013">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оригіналу рахунка, акту прийому передачі наданих послуг, у національній валюті України (гривні) шляхом банківського переказу на поточний рахунок фізичної особи підприємця  - постачальника послуг протягом 5 робочих днів з дати подання акту виконих робіт, рахунку на оплату.</w:t>
      </w:r>
    </w:p>
    <w:p w:rsidR="00000000" w:rsidDel="00000000" w:rsidP="00000000" w:rsidRDefault="00000000" w:rsidRPr="00000000" w14:paraId="00000016">
      <w:pPr>
        <w:spacing w:after="200" w:line="240" w:lineRule="auto"/>
        <w:ind w:firstLine="56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00" w:line="240" w:lineRule="auto"/>
        <w:ind w:firstLine="56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200" w:line="240" w:lineRule="auto"/>
        <w:ind w:firstLine="56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200" w:line="240" w:lineRule="auto"/>
        <w:ind w:firstLine="56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1B">
      <w:pPr>
        <w:widowControl w:val="0"/>
        <w:spacing w:line="240" w:lineRule="auto"/>
        <w:ind w:firstLine="0"/>
        <w:rPr>
          <w:sz w:val="20"/>
          <w:szCs w:val="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rPr>
          <w:b w:val="1"/>
          <w:bCs w:val="1"/>
          <w:color w:val="0000cc"/>
          <w:sz w:val="20"/>
          <w:szCs w:val="20"/>
        </w:rPr>
      </w:pPr>
      <w:r w:rsidDel="00000000" w:rsidR="00000000" w:rsidRPr="00000000">
        <w:rPr>
          <w:b w:val="1"/>
          <w:bCs w:val="1"/>
          <w:color w:val="0000cc"/>
          <w:sz w:val="20"/>
          <w:szCs w:val="20"/>
          <w:rtl w:val="0"/>
        </w:rPr>
        <w:t xml:space="preserve">Просимо надіслати Вашу пропозицію не пізніше </w:t>
      </w:r>
      <w:r w:rsidDel="00000000" w:rsidR="00000000" w:rsidRPr="00000000">
        <w:rPr>
          <w:b w:val="1"/>
          <w:bCs w:val="1"/>
          <w:color w:val="0000cc"/>
          <w:sz w:val="20"/>
          <w:szCs w:val="20"/>
          <w:u w:val="single"/>
          <w:rtl w:val="0"/>
        </w:rPr>
        <w:t xml:space="preserve">12:00, 19 червня 2026 року</w:t>
      </w:r>
      <w:r w:rsidDel="00000000" w:rsidR="00000000" w:rsidRPr="00000000">
        <w:rPr>
          <w:b w:val="1"/>
          <w:bCs w:val="1"/>
          <w:color w:val="0000cc"/>
          <w:sz w:val="20"/>
          <w:szCs w:val="20"/>
          <w:rtl w:val="0"/>
        </w:rPr>
        <w:t xml:space="preser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0" w:hanging="2"/>
        <w:rPr>
          <w:b w:val="1"/>
          <w:bCs w:val="1"/>
          <w:color w:val="0000cc"/>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0" w:hanging="2"/>
        <w:rPr>
          <w:color w:val="ff0000"/>
          <w:sz w:val="20"/>
          <w:szCs w:val="20"/>
        </w:rPr>
      </w:pPr>
      <w:r w:rsidDel="00000000" w:rsidR="00000000" w:rsidRPr="00000000">
        <w:rPr>
          <w:sz w:val="20"/>
          <w:szCs w:val="20"/>
          <w:rtl w:val="0"/>
        </w:rPr>
        <w:t xml:space="preserve">З питань </w:t>
      </w:r>
      <w:r w:rsidDel="00000000" w:rsidR="00000000" w:rsidRPr="00000000">
        <w:rPr>
          <w:b w:val="1"/>
          <w:bCs w:val="1"/>
          <w:sz w:val="20"/>
          <w:szCs w:val="20"/>
          <w:u w:val="single"/>
          <w:rtl w:val="0"/>
        </w:rPr>
        <w:t xml:space="preserve">подання пропозицій</w:t>
      </w:r>
      <w:r w:rsidDel="00000000" w:rsidR="00000000" w:rsidRPr="00000000">
        <w:rPr>
          <w:sz w:val="20"/>
          <w:szCs w:val="20"/>
          <w:rtl w:val="0"/>
        </w:rPr>
        <w:t xml:space="preserve"> звертайтеся, будь ласка, до Марії Терлецької: </w:t>
      </w:r>
      <w:hyperlink r:id="rId8">
        <w:r w:rsidDel="00000000" w:rsidR="00000000" w:rsidRPr="00000000">
          <w:rPr>
            <w:color w:val="1155cc"/>
            <w:sz w:val="20"/>
            <w:szCs w:val="20"/>
            <w:u w:val="single"/>
            <w:rtl w:val="0"/>
          </w:rPr>
          <w:t xml:space="preserve">m.terletska@r2p.org.ua</w:t>
        </w:r>
      </w:hyperlink>
      <w:r w:rsidDel="00000000" w:rsidR="00000000" w:rsidRPr="00000000">
        <w:rPr>
          <w:sz w:val="20"/>
          <w:szCs w:val="20"/>
          <w:rtl w:val="0"/>
        </w:rPr>
        <w:t xml:space="preserve"> </w:t>
        <w:br w:type="textWrapping"/>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0" w:hanging="2"/>
        <w:rPr>
          <w:color w:val="ff0000"/>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0" w:hanging="2"/>
        <w:rPr>
          <w:color w:val="ff0000"/>
          <w:sz w:val="20"/>
          <w:szCs w:val="20"/>
        </w:rPr>
      </w:pPr>
      <w:bookmarkStart w:colFirst="0" w:colLast="0" w:name="_heading=h.dfhsvknk4kvu" w:id="2"/>
      <w:bookmarkEnd w:id="2"/>
      <w:r w:rsidDel="00000000" w:rsidR="00000000" w:rsidRPr="00000000">
        <w:rPr>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sz w:val="20"/>
          <w:szCs w:val="20"/>
          <w:rtl w:val="0"/>
        </w:rPr>
        <w:t xml:space="preserve">З повагою,</w:t>
        <w:br w:type="textWrapping"/>
        <w:t xml:space="preserve">Президент</w:t>
        <w:tab/>
        <w:t xml:space="preserve">                                                                                               Галкін О.Ю.</w:t>
        <w:br w:type="textWrapping"/>
        <w:br w:type="textWrapping"/>
        <w:br w:type="textWrapping"/>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0" w:hanging="2"/>
        <w:jc w:val="both"/>
        <w:rPr>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0" w:hanging="2"/>
        <w:jc w:val="both"/>
        <w:rPr>
          <w:sz w:val="18"/>
          <w:szCs w:val="18"/>
        </w:rPr>
      </w:pPr>
      <w:r w:rsidDel="00000000" w:rsidR="00000000" w:rsidRPr="00000000">
        <w:rPr>
          <w:rtl w:val="0"/>
        </w:rPr>
      </w:r>
    </w:p>
    <w:p w:rsidR="00000000" w:rsidDel="00000000" w:rsidP="00000000" w:rsidRDefault="00000000" w:rsidRPr="00000000" w14:paraId="00000029">
      <w:pPr>
        <w:widowControl w:val="0"/>
        <w:spacing w:line="240" w:lineRule="auto"/>
        <w:jc w:val="both"/>
        <w:rPr>
          <w:sz w:val="14"/>
          <w:szCs w:val="14"/>
        </w:rPr>
      </w:pPr>
      <w:r w:rsidDel="00000000" w:rsidR="00000000" w:rsidRPr="00000000">
        <w:rPr>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A">
      <w:pPr>
        <w:widowControl w:val="0"/>
        <w:spacing w:line="240" w:lineRule="auto"/>
        <w:jc w:val="both"/>
        <w:rPr>
          <w:sz w:val="14"/>
          <w:szCs w:val="14"/>
        </w:rPr>
      </w:pPr>
      <w:r w:rsidDel="00000000" w:rsidR="00000000" w:rsidRPr="00000000">
        <w:rPr>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9">
        <w:r w:rsidDel="00000000" w:rsidR="00000000" w:rsidRPr="00000000">
          <w:rPr>
            <w:color w:val="1155cc"/>
            <w:sz w:val="14"/>
            <w:szCs w:val="14"/>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B">
      <w:pPr>
        <w:widowControl w:val="0"/>
        <w:spacing w:line="240" w:lineRule="auto"/>
        <w:jc w:val="both"/>
        <w:rPr>
          <w:sz w:val="14"/>
          <w:szCs w:val="14"/>
        </w:rPr>
      </w:pPr>
      <w:r w:rsidDel="00000000" w:rsidR="00000000" w:rsidRPr="00000000">
        <w:rPr>
          <w:rtl w:val="0"/>
        </w:rPr>
      </w:r>
    </w:p>
    <w:p w:rsidR="00000000" w:rsidDel="00000000" w:rsidP="00000000" w:rsidRDefault="00000000" w:rsidRPr="00000000" w14:paraId="0000002C">
      <w:pPr>
        <w:widowControl w:val="0"/>
        <w:spacing w:line="240" w:lineRule="auto"/>
        <w:jc w:val="both"/>
        <w:rPr>
          <w:sz w:val="14"/>
          <w:szCs w:val="14"/>
        </w:rPr>
      </w:pPr>
      <w:r w:rsidDel="00000000" w:rsidR="00000000" w:rsidRPr="00000000">
        <w:rPr>
          <w:sz w:val="14"/>
          <w:szCs w:val="14"/>
          <w:rtl w:val="0"/>
        </w:rPr>
        <w:t xml:space="preserve">Постачальник також зобов’язується дотримуватися Кодексу поведінки міжнародної некомерційної організації «Швейцарська солідарність» (SOLIAR), який додається до тендерної документації. Подання тендерної пропозиції є безумовною згодою Постачальника у разі визнання його переможцем підписати разом із Договором зазначений Кодекс поведінки та дотримуватися його положень.</w:t>
      </w:r>
    </w:p>
    <w:p w:rsidR="00000000" w:rsidDel="00000000" w:rsidP="00000000" w:rsidRDefault="00000000" w:rsidRPr="00000000" w14:paraId="0000002D">
      <w:pPr>
        <w:widowControl w:val="0"/>
        <w:spacing w:line="240" w:lineRule="auto"/>
        <w:jc w:val="both"/>
        <w:rPr>
          <w:sz w:val="14"/>
          <w:szCs w:val="14"/>
        </w:rPr>
      </w:pPr>
      <w:r w:rsidDel="00000000" w:rsidR="00000000" w:rsidRPr="00000000">
        <w:rPr>
          <w:rtl w:val="0"/>
        </w:rPr>
      </w:r>
    </w:p>
    <w:p w:rsidR="00000000" w:rsidDel="00000000" w:rsidP="00000000" w:rsidRDefault="00000000" w:rsidRPr="00000000" w14:paraId="0000002E">
      <w:pPr>
        <w:widowControl w:val="0"/>
        <w:spacing w:line="240" w:lineRule="auto"/>
        <w:jc w:val="both"/>
        <w:rPr>
          <w:sz w:val="20"/>
          <w:szCs w:val="20"/>
        </w:rPr>
      </w:pPr>
      <w:r w:rsidDel="00000000" w:rsidR="00000000" w:rsidRPr="00000000">
        <w:rPr>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right="-139.72440944881782" w:firstLine="0"/>
        <w:rPr>
          <w:sz w:val="20"/>
          <w:szCs w:val="20"/>
        </w:rPr>
      </w:pPr>
      <w:r w:rsidDel="00000000" w:rsidR="00000000" w:rsidRPr="00000000">
        <w:rPr>
          <w:rtl w:val="0"/>
        </w:rPr>
      </w:r>
    </w:p>
    <w:sectPr>
      <w:headerReference r:id="rId10" w:type="default"/>
      <w:pgSz w:h="16838" w:w="11906" w:orient="portrait"/>
      <w:pgMar w:bottom="567" w:top="1133.8582677165355" w:left="992.1259842519685" w:right="848" w:header="13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819"/>
        <w:tab w:val="right" w:leader="none" w:pos="9639"/>
        <w:tab w:val="left" w:leader="none" w:pos="8661"/>
      </w:tabs>
      <w:spacing w:line="240" w:lineRule="auto"/>
      <w:ind w:firstLine="0"/>
      <w:jc w:val="center"/>
      <w:rPr>
        <w:rFonts w:ascii="Calibri" w:cs="Calibri" w:eastAsia="Calibri" w:hAnsi="Calibri"/>
        <w:b w:val="1"/>
        <w:bCs w:val="1"/>
        <w:sz w:val="20"/>
        <w:szCs w:val="20"/>
        <w:highlight w:val="white"/>
      </w:rPr>
    </w:pPr>
    <w:r w:rsidDel="00000000" w:rsidR="00000000" w:rsidRPr="00000000">
      <w:rPr>
        <w:rFonts w:ascii="Calibri" w:cs="Calibri" w:eastAsia="Calibri" w:hAnsi="Calibri"/>
        <w:color w:val="0053f0"/>
        <w:sz w:val="20"/>
        <w:szCs w:val="20"/>
        <w:rtl w:val="0"/>
      </w:rPr>
      <w:t xml:space="preserve">        </w:t>
    </w:r>
    <w:r w:rsidDel="00000000" w:rsidR="00000000" w:rsidRPr="00000000">
      <w:rPr>
        <w:rFonts w:ascii="Calibri" w:cs="Calibri" w:eastAsia="Calibri" w:hAnsi="Calibri"/>
        <w:b w:val="1"/>
        <w:bCs w:val="1"/>
        <w:sz w:val="20"/>
        <w:szCs w:val="20"/>
        <w:highlight w:val="white"/>
        <w:rtl w:val="0"/>
      </w:rPr>
      <w:t xml:space="preserve">БЛАГОДІЙНА ОРГАНІЗАЦІЯ </w:t>
    </w:r>
    <w:r w:rsidDel="00000000" w:rsidR="00000000" w:rsidRPr="00000000">
      <w:drawing>
        <wp:anchor allowOverlap="1" behindDoc="1" distB="0" distT="0" distL="0" distR="0" hidden="0" layoutInCell="1" locked="0" relativeHeight="0" simplePos="0">
          <wp:simplePos x="0" y="0"/>
          <wp:positionH relativeFrom="column">
            <wp:posOffset>-713093</wp:posOffset>
          </wp:positionH>
          <wp:positionV relativeFrom="paragraph">
            <wp:posOffset>34290</wp:posOffset>
          </wp:positionV>
          <wp:extent cx="1684972" cy="842486"/>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84972" cy="842486"/>
                  </a:xfrm>
                  <a:prstGeom prst="rect"/>
                  <a:ln/>
                </pic:spPr>
              </pic:pic>
            </a:graphicData>
          </a:graphic>
        </wp:anchor>
      </w:drawing>
    </w:r>
  </w:p>
  <w:p w:rsidR="00000000" w:rsidDel="00000000" w:rsidP="00000000" w:rsidRDefault="00000000" w:rsidRPr="00000000" w14:paraId="00000034">
    <w:pPr>
      <w:widowControl w:val="0"/>
      <w:tabs>
        <w:tab w:val="center" w:leader="none" w:pos="4819"/>
        <w:tab w:val="right" w:leader="none" w:pos="9639"/>
      </w:tabs>
      <w:spacing w:line="240" w:lineRule="auto"/>
      <w:ind w:firstLine="0"/>
      <w:jc w:val="center"/>
      <w:rPr>
        <w:rFonts w:ascii="Calibri" w:cs="Calibri" w:eastAsia="Calibri" w:hAnsi="Calibri"/>
        <w:b w:val="1"/>
        <w:bCs w:val="1"/>
        <w:sz w:val="20"/>
        <w:szCs w:val="20"/>
        <w:highlight w:val="white"/>
      </w:rPr>
    </w:pPr>
    <w:bookmarkStart w:colFirst="0" w:colLast="0" w:name="_heading=h.ccrafq5l9gpd" w:id="3"/>
    <w:bookmarkEnd w:id="3"/>
    <w:r w:rsidDel="00000000" w:rsidR="00000000" w:rsidRPr="00000000">
      <w:rPr>
        <w:rFonts w:ascii="Calibri" w:cs="Calibri" w:eastAsia="Calibri" w:hAnsi="Calibri"/>
        <w:b w:val="1"/>
        <w:bCs w:val="1"/>
        <w:sz w:val="20"/>
        <w:szCs w:val="20"/>
        <w:highlight w:val="white"/>
        <w:rtl w:val="0"/>
      </w:rPr>
      <w:t xml:space="preserve">«БЛАГОДІЙНИЙ ФОНД «ПРАВО НА ЗАХИСТ»</w:t>
    </w:r>
  </w:p>
  <w:p w:rsidR="00000000" w:rsidDel="00000000" w:rsidP="00000000" w:rsidRDefault="00000000" w:rsidRPr="00000000" w14:paraId="00000035">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white"/>
        <w:rtl w:val="0"/>
      </w:rPr>
      <w:t xml:space="preserve">Юр. адреса: </w:t>
    </w:r>
    <w:r w:rsidDel="00000000" w:rsidR="00000000" w:rsidRPr="00000000">
      <w:rPr>
        <w:rFonts w:ascii="Calibri" w:cs="Calibri" w:eastAsia="Calibri" w:hAnsi="Calibri"/>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6">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7">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t:+38 044 337 17 62,  e-mail: </w:t>
    </w:r>
    <w:hyperlink r:id="rId2">
      <w:r w:rsidDel="00000000" w:rsidR="00000000" w:rsidRPr="00000000">
        <w:rPr>
          <w:rFonts w:ascii="Calibri" w:cs="Calibri" w:eastAsia="Calibri" w:hAnsi="Calibri"/>
          <w:sz w:val="20"/>
          <w:szCs w:val="20"/>
          <w:highlight w:val="white"/>
          <w:rtl w:val="0"/>
        </w:rPr>
        <w:t xml:space="preserve">r2p@r2p.org.ua</w:t>
      </w:r>
    </w:hyperlink>
    <w:r w:rsidDel="00000000" w:rsidR="00000000" w:rsidRPr="00000000">
      <w:rPr>
        <w:rFonts w:ascii="Calibri" w:cs="Calibri" w:eastAsia="Calibri" w:hAnsi="Calibri"/>
        <w:sz w:val="20"/>
        <w:szCs w:val="20"/>
        <w:highlight w:val="white"/>
        <w:rtl w:val="0"/>
      </w:rPr>
      <w:t xml:space="preserve">,</w:t>
    </w:r>
  </w:p>
  <w:p w:rsidR="00000000" w:rsidDel="00000000" w:rsidP="00000000" w:rsidRDefault="00000000" w:rsidRPr="00000000" w14:paraId="00000038">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сайт: </w:t>
    </w:r>
    <w:hyperlink r:id="rId3">
      <w:r w:rsidDel="00000000" w:rsidR="00000000" w:rsidRPr="00000000">
        <w:rPr>
          <w:rFonts w:ascii="Calibri" w:cs="Calibri" w:eastAsia="Calibri" w:hAnsi="Calibri"/>
          <w:sz w:val="20"/>
          <w:szCs w:val="20"/>
          <w:highlight w:val="white"/>
          <w:u w:val="single"/>
          <w:rtl w:val="0"/>
        </w:rPr>
        <w:t xml:space="preserve">https://r2p.org.ua/</w:t>
      </w:r>
    </w:hyperlink>
    <w:r w:rsidDel="00000000" w:rsidR="00000000" w:rsidRPr="00000000">
      <w:rPr>
        <w:rFonts w:ascii="Calibri" w:cs="Calibri" w:eastAsia="Calibri" w:hAnsi="Calibri"/>
        <w:sz w:val="20"/>
        <w:szCs w:val="20"/>
        <w:highlight w:val="white"/>
        <w:rtl w:val="0"/>
      </w:rPr>
      <w:t xml:space="preserve"> код згідно з ЄДРПОУ 38621206</w:t>
    </w:r>
  </w:p>
  <w:p w:rsidR="00000000" w:rsidDel="00000000" w:rsidP="00000000" w:rsidRDefault="00000000" w:rsidRPr="00000000" w14:paraId="00000039">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-1828792</wp:posOffset>
          </wp:positionH>
          <wp:positionV relativeFrom="paragraph">
            <wp:posOffset>0</wp:posOffset>
          </wp:positionV>
          <wp:extent cx="8804513" cy="190500"/>
          <wp:effectExtent b="0" l="0" r="0" t="0"/>
          <wp:wrapNone/>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8804513" cy="190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unhcr.org/ua/media/dodatok-e-kodeks-povedinky-postachalnykiv-oon-pdf-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mailto:m.terletska@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fFWUGagotVNpMCzPuW6HNHEQQ==">CgMxLjAyDmguOG96cHppNzQ3MGRnMg5oLm44NnJ2anQ1aDR2djIOaC5kZmhzdmtuazRrdnUyDmguY2NyYWZxNWw5Z3BkOAByITEtUTU3NjV6WElJUGRmMTE3LU9HQzFlWDFzSWllRENjaA==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