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spacing w:line="240" w:lineRule="auto"/>
        <w:ind w:left="-566"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rtl w:val="0"/>
        </w:rPr>
        <w:t xml:space="preserve">Технічне завдання для закупівлі послуги менторингу у сфері адвокації</w:t>
      </w:r>
      <w:r w:rsidDel="00000000" w:rsidR="00000000" w:rsidRPr="00000000">
        <w:rPr>
          <w:rtl w:val="0"/>
        </w:rPr>
      </w:r>
    </w:p>
    <w:p w:rsidR="00000000" w:rsidDel="00000000" w:rsidP="00000000" w:rsidRDefault="00000000" w:rsidRPr="00000000" w14:paraId="00000002">
      <w:pPr>
        <w:tabs>
          <w:tab w:val="left" w:leader="none" w:pos="1134"/>
        </w:tabs>
        <w:spacing w:line="240" w:lineRule="auto"/>
        <w:ind w:left="-566"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Загальна інформація. </w:t>
      </w:r>
      <w:r w:rsidDel="00000000" w:rsidR="00000000" w:rsidRPr="00000000">
        <w:rPr>
          <w:rFonts w:ascii="Times New Roman" w:cs="Times New Roman" w:eastAsia="Times New Roman" w:hAnsi="Times New Roman"/>
          <w:rtl w:val="0"/>
        </w:rPr>
        <w:t xml:space="preserve">БФ “Право на захист” (Фонд) - благодійна організація, що зосереджує свою діяльність на наданні допомоги внутрішньо переміщеним особам (ВПО), людям постраждалим від воєнних дій, біженцям та особам без громадянства. Фонд є виконавчим партнером УВКБ ООН і здійснює моніторинг ситуації захисту прав ВПО, надаючи правову допомогу та посилюючи гуманітарну відповідь у 22 областях України, а також сприяє змінам в національній правовій базі, приведення її у відповідність до міжнародних стандартів в галузі прав людини</w:t>
      </w:r>
    </w:p>
    <w:p w:rsidR="00000000" w:rsidDel="00000000" w:rsidP="00000000" w:rsidRDefault="00000000" w:rsidRPr="00000000" w14:paraId="0000000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Одним з головних напрямків роботи БФ “Право на захист” є запобігання вчиненню гендерно зумовленого (ГЗН), домашнього насильства, а також захисту жінок та дітей,  постраждалих від ГЗН, домашнього насильства. З цією метою Фонд підтримує діяльність Безпечних просторів для жінок та дітей на рівні громад через впровадження менторської програми у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за фінансування Italian Cooperation."</w:t>
      </w:r>
    </w:p>
    <w:p w:rsidR="00000000" w:rsidDel="00000000" w:rsidP="00000000" w:rsidRDefault="00000000" w:rsidRPr="00000000" w14:paraId="0000000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підтримки Безпечних просторів для жінок та дівчат (WGSS) спрямована на зміцнення їхнього інституційного потенціалу, видимості та сталості.Ці заходи допоможуть командам WGSS покращити внутрішньое управління, комунікацію з місцевими органами влади, неурядовими організаціями та ЗМІ, а також просувати цифровізацію та брендинг.</w:t>
      </w:r>
    </w:p>
    <w:p w:rsidR="00000000" w:rsidDel="00000000" w:rsidP="00000000" w:rsidRDefault="00000000" w:rsidRPr="00000000" w14:paraId="0000000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tabs>
          <w:tab w:val="left" w:leader="none" w:pos="1134"/>
        </w:tabs>
        <w:spacing w:after="200" w:lineRule="auto"/>
        <w:ind w:left="-566.9291338582677"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Послуга, яка закуповується: </w:t>
      </w:r>
      <w:r w:rsidDel="00000000" w:rsidR="00000000" w:rsidRPr="00000000">
        <w:rPr>
          <w:rFonts w:ascii="Times New Roman" w:cs="Times New Roman" w:eastAsia="Times New Roman" w:hAnsi="Times New Roman"/>
          <w:highlight w:val="white"/>
          <w:rtl w:val="0"/>
        </w:rPr>
        <w:t xml:space="preserve">менторинг у сфері </w:t>
      </w:r>
      <w:r w:rsidDel="00000000" w:rsidR="00000000" w:rsidRPr="00000000">
        <w:rPr>
          <w:rFonts w:ascii="Times New Roman" w:cs="Times New Roman" w:eastAsia="Times New Roman" w:hAnsi="Times New Roman"/>
          <w:rtl w:val="0"/>
        </w:rPr>
        <w:t xml:space="preserve">адвокації для безпечних просторів для жінок та дітей</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0A">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онлайн.</w:t>
      </w:r>
    </w:p>
    <w:p w:rsidR="00000000" w:rsidDel="00000000" w:rsidP="00000000" w:rsidRDefault="00000000" w:rsidRPr="00000000" w14:paraId="0000000B">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липень 2026 року - січень 2027 року.</w:t>
      </w:r>
    </w:p>
    <w:p w:rsidR="00000000" w:rsidDel="00000000" w:rsidP="00000000" w:rsidRDefault="00000000" w:rsidRPr="00000000" w14:paraId="0000000C">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color w:val="1f1f1f"/>
          <w:highlight w:val="white"/>
          <w:rtl w:val="0"/>
        </w:rPr>
        <w:t xml:space="preserve">Запорізька, Дніпропетровська, Донецька, Миколаївська, Сумська, Харківська, Херсонська, Чернігівська</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E">
      <w:pPr>
        <w:tabs>
          <w:tab w:val="left" w:leader="none" w:pos="1134"/>
        </w:tabs>
        <w:spacing w:after="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Безпечних просторів для роботи:</w:t>
      </w:r>
      <w:r w:rsidDel="00000000" w:rsidR="00000000" w:rsidRPr="00000000">
        <w:rPr>
          <w:rFonts w:ascii="Times New Roman" w:cs="Times New Roman" w:eastAsia="Times New Roman" w:hAnsi="Times New Roman"/>
          <w:rtl w:val="0"/>
        </w:rPr>
        <w:t xml:space="preserve"> менторинг охоплює 15 БПЖД.</w:t>
      </w:r>
    </w:p>
    <w:p w:rsidR="00000000" w:rsidDel="00000000" w:rsidP="00000000" w:rsidRDefault="00000000" w:rsidRPr="00000000" w14:paraId="0000000F">
      <w:pPr>
        <w:tabs>
          <w:tab w:val="left" w:leader="none" w:pos="1134"/>
        </w:tabs>
        <w:spacing w:after="6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менторингу: від 4 год для 1 БПЖД</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Кількість годин є орієнтовною і у разі запиту від БПЖД може бути погоджено більшу кількість годин для кожного БПЖД.</w:t>
      </w:r>
      <w:r w:rsidDel="00000000" w:rsidR="00000000" w:rsidRPr="00000000">
        <w:rPr>
          <w:rtl w:val="0"/>
        </w:rPr>
      </w:r>
    </w:p>
    <w:p w:rsidR="00000000" w:rsidDel="00000000" w:rsidP="00000000" w:rsidRDefault="00000000" w:rsidRPr="00000000" w14:paraId="00000010">
      <w:pPr>
        <w:tabs>
          <w:tab w:val="left" w:leader="none" w:pos="1134"/>
        </w:tabs>
        <w:spacing w:after="60" w:before="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уточнення запиту, підготовку до зустрічей та звітування залучений надавач послуг визначає самостійно. Вартість цих послуг має бути включена в сукупну ціну за надання послуги.</w:t>
      </w:r>
    </w:p>
    <w:p w:rsidR="00000000" w:rsidDel="00000000" w:rsidP="00000000" w:rsidRDefault="00000000" w:rsidRPr="00000000" w14:paraId="00000011">
      <w:pPr>
        <w:tabs>
          <w:tab w:val="left" w:leader="none" w:pos="1134"/>
        </w:tabs>
        <w:spacing w:after="60" w:before="200" w:lineRule="auto"/>
        <w:ind w:left="-566.929133858267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2">
      <w:pPr>
        <w:numPr>
          <w:ilvl w:val="0"/>
          <w:numId w:val="1"/>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 ЛОТ 1:</w:t>
      </w:r>
      <w:r w:rsidDel="00000000" w:rsidR="00000000" w:rsidRPr="00000000">
        <w:rPr>
          <w:rtl w:val="0"/>
        </w:rPr>
      </w:r>
    </w:p>
    <w:tbl>
      <w:tblPr>
        <w:tblStyle w:val="Table1"/>
        <w:tblW w:w="10125.0" w:type="dxa"/>
        <w:jc w:val="left"/>
        <w:tblInd w:w="-1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1785"/>
        <w:gridCol w:w="2385"/>
        <w:gridCol w:w="2505"/>
        <w:gridCol w:w="2640"/>
        <w:tblGridChange w:id="0">
          <w:tblGrid>
            <w:gridCol w:w="810"/>
            <w:gridCol w:w="1785"/>
            <w:gridCol w:w="2385"/>
            <w:gridCol w:w="2505"/>
            <w:gridCol w:w="2640"/>
          </w:tblGrid>
        </w:tblGridChange>
      </w:tblGrid>
      <w:tr>
        <w:trPr>
          <w:cantSplit w:val="0"/>
          <w:trHeight w:val="1033.43261718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4">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befor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Період надання послуг</w:t>
            </w:r>
          </w:p>
        </w:tc>
      </w:tr>
      <w:tr>
        <w:trPr>
          <w:cantSplit w:val="0"/>
          <w:trHeight w:val="21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індивідуальні плани менторингу для кожного окремого БПЖД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планом та графіком менторингу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B">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план та графік менторингу з зазначення уточненого запиту, кроків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7 днів до початку надання послуги</w:t>
            </w:r>
          </w:p>
        </w:tc>
      </w:tr>
      <w:tr>
        <w:trPr>
          <w:cantSplit w:val="0"/>
          <w:trHeight w:val="2186.4770507812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менторингу для 15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дат зустрічей та результатів від кожної з зустрічей, з переліком учасників та інше (форма буде надана додатково)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Підсилення кожного з 15 БПЖД у сфері адвокації</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липень 2026 року -  січень 2027 року</w:t>
            </w:r>
          </w:p>
        </w:tc>
      </w:tr>
    </w:tbl>
    <w:p w:rsidR="00000000" w:rsidDel="00000000" w:rsidP="00000000" w:rsidRDefault="00000000" w:rsidRPr="00000000" w14:paraId="00000022">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23">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24">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та продукти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26">
      <w:pPr>
        <w:numPr>
          <w:ilvl w:val="0"/>
          <w:numId w:val="3"/>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Умови співпраці</w:t>
      </w:r>
      <w:r w:rsidDel="00000000" w:rsidR="00000000" w:rsidRPr="00000000">
        <w:rPr>
          <w:rtl w:val="0"/>
        </w:rPr>
      </w:r>
    </w:p>
    <w:p w:rsidR="00000000" w:rsidDel="00000000" w:rsidP="00000000" w:rsidRDefault="00000000" w:rsidRPr="00000000" w14:paraId="00000027">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юридичні особи ( (пропозиції приймаються без ПДВ).</w:t>
        <w:br w:type="textWrapping"/>
        <w:t xml:space="preserve">        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w:t>
      </w:r>
    </w:p>
    <w:p w:rsidR="00000000" w:rsidDel="00000000" w:rsidP="00000000" w:rsidRDefault="00000000" w:rsidRPr="00000000" w14:paraId="00000028">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  </w:t>
      </w:r>
      <w:r w:rsidDel="00000000" w:rsidR="00000000" w:rsidRPr="00000000">
        <w:rPr>
          <w:rFonts w:ascii="Times New Roman" w:cs="Times New Roman" w:eastAsia="Times New Roman" w:hAnsi="Times New Roman"/>
          <w:rtl w:val="0"/>
        </w:rPr>
        <w:t xml:space="preserve">Впродовж співпраці має бути подано 3 рахунка, 3 акта наданих послуг та 3 звіта.</w:t>
      </w:r>
      <w:r w:rsidDel="00000000" w:rsidR="00000000" w:rsidRPr="00000000">
        <w:rPr>
          <w:rtl w:val="0"/>
        </w:rPr>
      </w:r>
    </w:p>
    <w:p w:rsidR="00000000" w:rsidDel="00000000" w:rsidP="00000000" w:rsidRDefault="00000000" w:rsidRPr="00000000" w14:paraId="00000029">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A">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але</w:t>
      </w:r>
      <w:r w:rsidDel="00000000" w:rsidR="00000000" w:rsidRPr="00000000">
        <w:rPr>
          <w:rFonts w:ascii="Times New Roman" w:cs="Times New Roman" w:eastAsia="Times New Roman" w:hAnsi="Times New Roman"/>
          <w:rtl w:val="0"/>
        </w:rPr>
        <w:t xml:space="preserve"> не пізніше як 2 (два) дні до кінцевого терміну</w:t>
      </w:r>
      <w:r w:rsidDel="00000000" w:rsidR="00000000" w:rsidRPr="00000000">
        <w:rPr>
          <w:rFonts w:ascii="Times New Roman" w:cs="Times New Roman" w:eastAsia="Times New Roman" w:hAnsi="Times New Roman"/>
          <w:highlight w:val="white"/>
          <w:rtl w:val="0"/>
        </w:rPr>
        <w:t xml:space="preserve">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B">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2C">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2D">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 Учасник немає перебувати в процесі припинення діяльності ФОП.</w:t>
      </w:r>
    </w:p>
    <w:p w:rsidR="00000000" w:rsidDel="00000000" w:rsidP="00000000" w:rsidRDefault="00000000" w:rsidRPr="00000000" w14:paraId="0000002E">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w:t>
      </w:r>
    </w:p>
    <w:p w:rsidR="00000000" w:rsidDel="00000000" w:rsidP="00000000" w:rsidRDefault="00000000" w:rsidRPr="00000000" w14:paraId="0000002F">
      <w:pPr>
        <w:numPr>
          <w:ilvl w:val="0"/>
          <w:numId w:val="4"/>
        </w:numPr>
        <w:tabs>
          <w:tab w:val="left" w:leader="none" w:pos="1134"/>
        </w:tabs>
        <w:spacing w:after="240" w:before="24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Вимоги до подання пропозицій: </w:t>
      </w: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0">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31">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720" w:right="0" w:hanging="360"/>
        <w:jc w:val="both"/>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як експертного (у сфері підвищення адвокаційної спроможності Безпечних простір для жінок та дітей) так і менторського (перелік організацій, установ, яким надавались менторські послуги);</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720" w:right="0" w:hanging="360"/>
        <w:jc w:val="both"/>
      </w:pPr>
      <w:r w:rsidDel="00000000" w:rsidR="00000000" w:rsidRPr="00000000">
        <w:rPr>
          <w:rFonts w:ascii="Times New Roman" w:cs="Times New Roman" w:eastAsia="Times New Roman" w:hAnsi="Times New Roman"/>
          <w:rtl w:val="0"/>
        </w:rPr>
        <w:t xml:space="preserve">Диплом про освіту;</w:t>
      </w:r>
      <w:r w:rsidDel="00000000" w:rsidR="00000000" w:rsidRPr="00000000">
        <w:rPr>
          <w:rtl w:val="0"/>
        </w:rPr>
      </w:r>
    </w:p>
    <w:p w:rsidR="00000000" w:rsidDel="00000000" w:rsidP="00000000" w:rsidRDefault="00000000" w:rsidRPr="00000000" w14:paraId="00000034">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більше 1,5 сторінки тексту, шрифт Times New Roman, 11) в форматі pdf з підписом та печаткою, якщо є;</w:t>
      </w:r>
      <w:r w:rsidDel="00000000" w:rsidR="00000000" w:rsidRPr="00000000">
        <w:rPr>
          <w:rtl w:val="0"/>
        </w:rPr>
      </w:r>
    </w:p>
    <w:p w:rsidR="00000000" w:rsidDel="00000000" w:rsidP="00000000" w:rsidRDefault="00000000" w:rsidRPr="00000000" w14:paraId="00000035">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Del="00000000" w:rsidR="00000000" w:rsidRPr="00000000">
        <w:rPr>
          <w:rtl w:val="0"/>
        </w:rPr>
      </w:r>
    </w:p>
    <w:p w:rsidR="00000000" w:rsidDel="00000000" w:rsidP="00000000" w:rsidRDefault="00000000" w:rsidRPr="00000000" w14:paraId="00000036">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r w:rsidDel="00000000" w:rsidR="00000000" w:rsidRPr="00000000">
        <w:rPr>
          <w:rtl w:val="0"/>
        </w:rPr>
      </w:r>
    </w:p>
    <w:p w:rsidR="00000000" w:rsidDel="00000000" w:rsidP="00000000" w:rsidRDefault="00000000" w:rsidRPr="00000000" w14:paraId="00000037">
      <w:pPr>
        <w:numPr>
          <w:ilvl w:val="0"/>
          <w:numId w:val="2"/>
        </w:numPr>
        <w:tabs>
          <w:tab w:val="left" w:leader="none" w:pos="1134"/>
        </w:tabs>
        <w:spacing w:after="240" w:line="256" w:lineRule="auto"/>
        <w:ind w:left="720" w:hanging="360"/>
        <w:jc w:val="both"/>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38">
      <w:pPr>
        <w:tabs>
          <w:tab w:val="left" w:leader="none" w:pos="1134"/>
        </w:tabs>
        <w:spacing w:after="200" w:before="18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Підведення підсумків тендеру</w:t>
      </w:r>
    </w:p>
    <w:p w:rsidR="00000000" w:rsidDel="00000000" w:rsidP="00000000" w:rsidRDefault="00000000" w:rsidRPr="00000000" w14:paraId="00000039">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655"/>
        <w:gridCol w:w="5070"/>
        <w:gridCol w:w="1440"/>
        <w:tblGridChange w:id="0">
          <w:tblGrid>
            <w:gridCol w:w="495"/>
            <w:gridCol w:w="2655"/>
            <w:gridCol w:w="5070"/>
            <w:gridCol w:w="1440"/>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A">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E">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Критерії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4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 за вимогою</w:t>
            </w:r>
          </w:p>
        </w:tc>
      </w:tr>
      <w:tr>
        <w:trPr>
          <w:cantSplit w:val="0"/>
          <w:trHeight w:val="39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4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5">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Магістр, Спеціаліст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6">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бали: Бакалавр у сферах комунікацій, маркетингу,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7">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8">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8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4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менторства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4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p>
          <w:p w:rsidR="00000000" w:rsidDel="00000000" w:rsidP="00000000" w:rsidRDefault="00000000" w:rsidRPr="00000000" w14:paraId="0000004E">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w:t>
            </w:r>
          </w:p>
          <w:p w:rsidR="00000000" w:rsidDel="00000000" w:rsidP="00000000" w:rsidRDefault="00000000" w:rsidRPr="00000000" w14:paraId="0000004F">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0">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1">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5591.8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5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опис бачення реалізації технічного завдання прописаний детально, структуровано, відповідно до запропонованої форми і відповідає темі запиту. А також з акцентований на дотриманні міжнародних стандартів протидії ГЗН та домашньому насильству з урахуванням тенденцій в Україні</w:t>
            </w:r>
          </w:p>
          <w:p w:rsidR="00000000" w:rsidDel="00000000" w:rsidP="00000000" w:rsidRDefault="00000000" w:rsidRPr="00000000" w14:paraId="0000005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детально, проте не містить деталізації щодо питань, які ментор_ка планує задавати для уточнення запиту та ведення процесу менторингу, або без розуміння стандартів протидії ГЗН та домашньому насильству</w:t>
            </w:r>
          </w:p>
          <w:p w:rsidR="00000000" w:rsidDel="00000000" w:rsidP="00000000" w:rsidRDefault="00000000" w:rsidRPr="00000000" w14:paraId="0000005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5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9">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 громадами.</w:t>
            </w:r>
          </w:p>
          <w:p w:rsidR="00000000" w:rsidDel="00000000" w:rsidP="00000000" w:rsidRDefault="00000000" w:rsidRPr="00000000" w14:paraId="0000005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 БПЖД</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балів - Учасник має значний досвід у сфері адвокації на локальному рівні, в тому числі адвокації надання соціальних послуг. А також має підтверджений досвід надання менторських послуг для БПЖД та громадських організацій </w:t>
            </w:r>
          </w:p>
          <w:p w:rsidR="00000000" w:rsidDel="00000000" w:rsidP="00000000" w:rsidRDefault="00000000" w:rsidRPr="00000000" w14:paraId="0000005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Учасник має значний досвід у сфері адвокації на локальному рівні, в тому числі адвокації надання соціальних послуг. А також має підтверджений досвід надання менторських послуг, однак не БПЖД </w:t>
            </w:r>
          </w:p>
          <w:p w:rsidR="00000000" w:rsidDel="00000000" w:rsidP="00000000" w:rsidRDefault="00000000" w:rsidRPr="00000000" w14:paraId="0000005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незначний досвід у сфері адвокації, в тому числі адвокації надання соціальних послуг на локальному рівні, наявний досвід не релевантний темі запиту або відсутній досвід менторства для ОГС/БПЖД тощо.</w:t>
            </w:r>
          </w:p>
          <w:p w:rsidR="00000000" w:rsidDel="00000000" w:rsidP="00000000" w:rsidRDefault="00000000" w:rsidRPr="00000000" w14:paraId="0000006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має досвіду адвокації/надання соціальних послуг</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1">
            <w:pPr>
              <w:tabs>
                <w:tab w:val="left" w:leader="none" w:pos="1134"/>
              </w:tabs>
              <w:spacing w:after="200" w:line="25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w:t>
            </w:r>
          </w:p>
        </w:tc>
      </w:tr>
    </w:tbl>
    <w:p w:rsidR="00000000" w:rsidDel="00000000" w:rsidP="00000000" w:rsidRDefault="00000000" w:rsidRPr="00000000" w14:paraId="0000006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tabs>
          <w:tab w:val="left" w:leader="none" w:pos="1134"/>
        </w:tabs>
        <w:spacing w:after="200" w:lineRule="auto"/>
        <w:ind w:left="120" w:firstLine="560"/>
        <w:jc w:val="both"/>
        <w:rPr>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64">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5">
      <w:pPr>
        <w:shd w:fill="ffffff" w:val="clear"/>
        <w:jc w:val="both"/>
        <w:rPr>
          <w:b w:val="1"/>
          <w:bCs w:val="1"/>
          <w:i w:val="1"/>
          <w:iCs w:val="1"/>
          <w:sz w:val="24"/>
          <w:szCs w:val="24"/>
        </w:rPr>
      </w:pPr>
      <w:r w:rsidDel="00000000" w:rsidR="00000000" w:rsidRPr="00000000">
        <w:rPr>
          <w:i w:val="1"/>
          <w:iCs w:val="1"/>
          <w:rtl w:val="0"/>
        </w:rPr>
        <w:t xml:space="preserve">Профінансовано за підтримки UK aid від уряду Великої Британії, реалізується в межах Національного консорціуму PULSE за координації БФ «Право на захист». Підтримка цього проєкту в Україні з боку уряду Великої Британії надається через компонент SHARP його Програми з гуманітарної допомоги, відновлення та захисту.</w:t>
      </w:r>
      <w:r w:rsidDel="00000000" w:rsidR="00000000" w:rsidRPr="00000000">
        <w:rPr>
          <w:rtl w:val="0"/>
        </w:rPr>
      </w:r>
    </w:p>
    <w:p w:rsidR="00000000" w:rsidDel="00000000" w:rsidP="00000000" w:rsidRDefault="00000000" w:rsidRPr="00000000" w14:paraId="00000066">
      <w:pPr>
        <w:tabs>
          <w:tab w:val="left" w:leader="none" w:pos="1134"/>
        </w:tabs>
        <w:spacing w:line="240" w:lineRule="auto"/>
        <w:ind w:left="-566" w:firstLine="0"/>
        <w:jc w:val="both"/>
        <w:rPr>
          <w:rFonts w:ascii="Times New Roman" w:cs="Times New Roman" w:eastAsia="Times New Roman" w:hAnsi="Times New Roman"/>
          <w:i w:val="1"/>
          <w:iCs w:val="1"/>
          <w:shd w:fill="fff2cc" w:val="clear"/>
        </w:rPr>
      </w:pPr>
      <w:r w:rsidDel="00000000" w:rsidR="00000000" w:rsidRPr="00000000">
        <w:rPr>
          <w:rtl w:val="0"/>
        </w:rPr>
      </w:r>
    </w:p>
    <w:p w:rsidR="00000000" w:rsidDel="00000000" w:rsidP="00000000" w:rsidRDefault="00000000" w:rsidRPr="00000000" w14:paraId="00000067">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8">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9">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A">
      <w:pPr>
        <w:tabs>
          <w:tab w:val="left" w:leader="none" w:pos="1134"/>
        </w:tabs>
        <w:spacing w:line="240" w:lineRule="auto"/>
        <w:ind w:left="-566" w:firstLine="0"/>
        <w:jc w:val="both"/>
        <w:rPr>
          <w:rFonts w:ascii="Times New Roman" w:cs="Times New Roman" w:eastAsia="Times New Roman" w:hAnsi="Times New Roman"/>
          <w:i w:val="1"/>
          <w:iCs w:val="1"/>
        </w:rPr>
      </w:pPr>
      <w:bookmarkStart w:colFirst="0" w:colLast="0" w:name="_heading=h.u3f9hsf2xc4m" w:id="0"/>
      <w:bookmarkEnd w:id="0"/>
      <w:r w:rsidDel="00000000" w:rsidR="00000000" w:rsidRPr="00000000">
        <w:rPr>
          <w:rtl w:val="0"/>
        </w:rPr>
      </w:r>
    </w:p>
    <w:sectPr>
      <w:pgSz w:h="16834" w:w="11909" w:orient="portrait"/>
      <w:pgMar w:bottom="1090.0393700787413" w:top="1440" w:left="1440" w:right="832.204724409448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8qO1IJ4d+nzuAHep4btG5NSg==">CgMxLjAyDmgudTNmOWhzZjJ4YzRtOAByITFjM2EzS1dVM2pCb0ZZczJpTFl5YmFZenlLMk9yaFptWg==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