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 липня 2026 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 з проведення офлайн тренінгу  за темою  «Управління ризиками  у своїй справі»  </w:t>
      </w:r>
    </w:p>
    <w:p w:rsidR="00000000" w:rsidDel="00000000" w:rsidP="00000000" w:rsidRDefault="00000000" w:rsidRPr="00000000" w14:paraId="0000000A">
      <w:pPr>
        <w:widowControl w:val="0"/>
        <w:spacing w:after="200" w:line="256" w:lineRule="auto"/>
        <w:ind w:left="-141" w:right="-289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right="-289" w:firstLine="426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xn58cc8qbw9z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з проведення офлайн тренінгу за темою  «Управління ризиками своєї справи»  у м. Полтава, Полтавської області.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rshzrl2496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-28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тренінг офлайн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right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м. Полтава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right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проведення тренінгу: 24.10.2026 (за погодженням сторін дати можуть бути змінені)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bookmarkStart w:colFirst="0" w:colLast="0" w:name="_heading=h.pvee4oqbvok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Полтавська  область 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9" w:lineRule="auto"/>
        <w:ind w:left="0" w:right="-2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офлайн тренінгу за темою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“Управління ризиками своєї справи”.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1. Опис компоненту «Проведення офлайн тренінгу за темою «Управління ризиками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right="-146.456692913384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25"/>
        <w:gridCol w:w="4260"/>
        <w:tblGridChange w:id="0">
          <w:tblGrid>
            <w:gridCol w:w="6225"/>
            <w:gridCol w:w="4260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 години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59" w:lineRule="auto"/>
              <w:ind w:right="-289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всього 4,5 години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6">
      <w:pPr>
        <w:widowControl w:val="0"/>
        <w:spacing w:before="80"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а також розробляти ефективні стратегії реагування й мінімізації їхнього впливу.</w:t>
      </w:r>
    </w:p>
    <w:p w:rsidR="00000000" w:rsidDel="00000000" w:rsidP="00000000" w:rsidRDefault="00000000" w:rsidRPr="00000000" w14:paraId="00000027">
      <w:pPr>
        <w:widowControl w:val="0"/>
        <w:spacing w:before="80"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розуміють, що таке управління ризиками, вміють ідентифікувати й оцінити потенційні ризики для їх бізнес, оцінювати їх ймовірність та вплив та мають попередній план реагування на ризики.</w:t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right="-289" w:firstLine="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Експертиза з управління ризиками в бізнесі;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160"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співпраці з благодійними фондами або соціальними проектами.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-28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-289" w:firstLine="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line="259" w:lineRule="auto"/>
        <w:ind w:left="0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line="259" w:lineRule="auto"/>
        <w:ind w:left="0" w:firstLine="1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line="259" w:lineRule="auto"/>
        <w:ind w:left="0" w:firstLine="1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презентацію або інші інструменти візуалізації для проведення  тренінгу;</w:t>
        <w:br w:type="textWrapping"/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v5oz680kik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8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Виконавця, а також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релевантний досвід роботи.</w:t>
      </w:r>
    </w:p>
    <w:p w:rsidR="00000000" w:rsidDel="00000000" w:rsidP="00000000" w:rsidRDefault="00000000" w:rsidRPr="00000000" w14:paraId="00000039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A">
      <w:pPr>
        <w:widowControl w:val="0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B">
      <w:pPr>
        <w:widowControl w:val="0"/>
        <w:ind w:right="-289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C">
      <w:pPr>
        <w:widowControl w:val="0"/>
        <w:ind w:right="-289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firstLine="72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Цінові пропозиції учасників приймаються без урахування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6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 тренінгу, включаючи всі додаткові витрати (роздаткові матеріали, проживання, харчування, проїзд та ін),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46">
      <w:pPr>
        <w:widowControl w:val="0"/>
        <w:spacing w:line="256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 співбесіди;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after="160"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C">
      <w:pPr>
        <w:widowControl w:val="0"/>
        <w:spacing w:line="256" w:lineRule="auto"/>
        <w:ind w:right="-289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D">
      <w:pPr>
        <w:widowControl w:val="0"/>
        <w:spacing w:after="200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010"/>
        <w:gridCol w:w="6030"/>
        <w:gridCol w:w="1650"/>
        <w:tblGridChange w:id="0">
          <w:tblGrid>
            <w:gridCol w:w="435"/>
            <w:gridCol w:w="2010"/>
            <w:gridCol w:w="6030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ind w:right="-289" w:firstLine="42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ind w:right="-289" w:firstLine="2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right="-289" w:firstLine="2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ind w:right="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right="-505" w:firstLine="22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16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16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right="-505" w:firstLine="27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Співбесіда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right="-505" w:firstLine="27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right="177" w:firstLine="27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right="177" w:firstLine="2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200" w:line="256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yrygri0jleg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394.645669291342" w:top="283" w:left="1134" w:right="70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tender@r2p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a+7yeXG06rC+IULRFnGxe3Scg==">CgMxLjAyDmgueG41OGNjOHFidzl6Mg5oLndyc2h6cmwyNDk2MzIOaC5wdmVlNG9xYnZva2wyDWgua3Y1b3o2ODBraWsyDmguYXlyeWdyaTBqbGVnOAByITFfZ3dLb001Q2FqUWttS0pSMVF5X28yUzZHeUxFWWpCMA==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