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ind w:left="0" w:firstLine="0"/>
        <w:jc w:val="center"/>
        <w:rPr>
          <w:rFonts w:ascii="Cambria" w:cs="Cambria" w:eastAsia="Cambria" w:hAnsi="Cambria"/>
          <w:b w:val="1"/>
          <w:color w:val="0f549b"/>
          <w:sz w:val="20"/>
          <w:szCs w:val="20"/>
          <w:highlight w:val="white"/>
        </w:rPr>
      </w:pPr>
      <w:r w:rsidDel="00000000" w:rsidR="00000000" w:rsidRPr="00000000">
        <w:rPr>
          <w:rFonts w:ascii="Cambria" w:cs="Cambria" w:eastAsia="Cambria" w:hAnsi="Cambria"/>
          <w:b w:val="1"/>
          <w:color w:val="0f549b"/>
          <w:sz w:val="20"/>
          <w:szCs w:val="20"/>
          <w:highlight w:val="white"/>
          <w:rtl w:val="0"/>
        </w:rPr>
        <w:t xml:space="preserve"> </w:t>
      </w:r>
      <w:r w:rsidDel="00000000" w:rsidR="00000000" w:rsidRPr="00000000">
        <w:rPr>
          <w:rFonts w:ascii="Cambria" w:cs="Cambria" w:eastAsia="Cambria" w:hAnsi="Cambria"/>
          <w:b w:val="1"/>
          <w:color w:val="0f549b"/>
          <w:sz w:val="20"/>
          <w:szCs w:val="20"/>
          <w:highlight w:val="white"/>
          <w:rtl w:val="0"/>
        </w:rPr>
        <w:t xml:space="preserve">БЛАГОДІЙНА ОРГАНІЗАЦІЯ</w:t>
      </w:r>
      <w:r w:rsidDel="00000000" w:rsidR="00000000" w:rsidRPr="00000000">
        <w:drawing>
          <wp:anchor allowOverlap="1" behindDoc="0" distB="0" distT="0" distL="114300" distR="114300" hidden="0" layoutInCell="1" locked="0" relativeHeight="0" simplePos="0">
            <wp:simplePos x="0" y="0"/>
            <wp:positionH relativeFrom="column">
              <wp:posOffset>-152399</wp:posOffset>
            </wp:positionH>
            <wp:positionV relativeFrom="paragraph">
              <wp:posOffset>0</wp:posOffset>
            </wp:positionV>
            <wp:extent cx="1164488" cy="720144"/>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7"/>
                    <a:srcRect b="-3525" l="-3751" r="-6294" t="-6520"/>
                    <a:stretch>
                      <a:fillRect/>
                    </a:stretch>
                  </pic:blipFill>
                  <pic:spPr>
                    <a:xfrm>
                      <a:off x="0" y="0"/>
                      <a:ext cx="1164488" cy="720144"/>
                    </a:xfrm>
                    <a:prstGeom prst="rect"/>
                    <a:ln/>
                  </pic:spPr>
                </pic:pic>
              </a:graphicData>
            </a:graphic>
          </wp:anchor>
        </w:drawing>
      </w:r>
    </w:p>
    <w:p w:rsidR="00000000" w:rsidDel="00000000" w:rsidP="00000000" w:rsidRDefault="00000000" w:rsidRPr="00000000" w14:paraId="00000002">
      <w:pPr>
        <w:shd w:fill="ffffff" w:val="clear"/>
        <w:spacing w:after="0" w:line="240" w:lineRule="auto"/>
        <w:ind w:left="0" w:firstLine="0"/>
        <w:jc w:val="center"/>
        <w:rPr>
          <w:rFonts w:ascii="Cambria" w:cs="Cambria" w:eastAsia="Cambria" w:hAnsi="Cambria"/>
          <w:b w:val="1"/>
          <w:color w:val="0f549b"/>
          <w:sz w:val="20"/>
          <w:szCs w:val="20"/>
          <w:highlight w:val="white"/>
        </w:rPr>
      </w:pPr>
      <w:r w:rsidDel="00000000" w:rsidR="00000000" w:rsidRPr="00000000">
        <w:rPr>
          <w:rFonts w:ascii="Cambria" w:cs="Cambria" w:eastAsia="Cambria" w:hAnsi="Cambria"/>
          <w:b w:val="1"/>
          <w:color w:val="0f549b"/>
          <w:sz w:val="20"/>
          <w:szCs w:val="20"/>
          <w:highlight w:val="white"/>
          <w:rtl w:val="0"/>
        </w:rPr>
        <w:t xml:space="preserve">«БЛАГОДІЙНИЙ ФОНД «ПРАВО НА ЗАХИСТ»</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ind w:left="32" w:firstLine="0"/>
        <w:jc w:val="center"/>
        <w:rPr>
          <w:rFonts w:ascii="Cambria" w:cs="Cambria" w:eastAsia="Cambria" w:hAnsi="Cambria"/>
          <w:color w:val="0f549b"/>
          <w:sz w:val="20"/>
          <w:szCs w:val="20"/>
          <w:highlight w:val="white"/>
        </w:rPr>
      </w:pPr>
      <w:r w:rsidDel="00000000" w:rsidR="00000000" w:rsidRPr="00000000">
        <w:rPr>
          <w:rFonts w:ascii="Cambria" w:cs="Cambria" w:eastAsia="Cambria" w:hAnsi="Cambria"/>
          <w:color w:val="0f549b"/>
          <w:sz w:val="20"/>
          <w:szCs w:val="20"/>
          <w:highlight w:val="white"/>
          <w:rtl w:val="0"/>
        </w:rPr>
        <w:t xml:space="preserve">Юр. адреса: вул. Глибочицька, буд. 17, корпус 1А, офіс 417, м. Київ, 04052</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ind w:left="32" w:firstLine="0"/>
        <w:jc w:val="center"/>
        <w:rPr>
          <w:rFonts w:ascii="Cambria" w:cs="Cambria" w:eastAsia="Cambria" w:hAnsi="Cambria"/>
          <w:color w:val="0f549b"/>
          <w:sz w:val="20"/>
          <w:szCs w:val="20"/>
          <w:highlight w:val="white"/>
        </w:rPr>
      </w:pPr>
      <w:r w:rsidDel="00000000" w:rsidR="00000000" w:rsidRPr="00000000">
        <w:rPr>
          <w:rFonts w:ascii="Cambria" w:cs="Cambria" w:eastAsia="Cambria" w:hAnsi="Cambria"/>
          <w:color w:val="0f549b"/>
          <w:sz w:val="20"/>
          <w:szCs w:val="20"/>
          <w:highlight w:val="white"/>
          <w:rtl w:val="0"/>
        </w:rPr>
        <w:t xml:space="preserve">Для листування: вул. Григорія Сковороди, 21/16, Київ,  04070</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ind w:left="32" w:firstLine="0"/>
        <w:jc w:val="center"/>
        <w:rPr>
          <w:rFonts w:ascii="Cambria" w:cs="Cambria" w:eastAsia="Cambria" w:hAnsi="Cambria"/>
          <w:color w:val="0f549b"/>
          <w:sz w:val="20"/>
          <w:szCs w:val="20"/>
        </w:rPr>
      </w:pPr>
      <w:r w:rsidDel="00000000" w:rsidR="00000000" w:rsidRPr="00000000">
        <w:rPr>
          <w:rFonts w:ascii="Cambria" w:cs="Cambria" w:eastAsia="Cambria" w:hAnsi="Cambria"/>
          <w:color w:val="0f549b"/>
          <w:sz w:val="20"/>
          <w:szCs w:val="20"/>
          <w:rtl w:val="0"/>
        </w:rPr>
        <w:t xml:space="preserve">   t:+38 044 337 17 62,  e-mail:</w:t>
      </w:r>
      <w:r w:rsidDel="00000000" w:rsidR="00000000" w:rsidRPr="00000000">
        <w:rPr>
          <w:rFonts w:ascii="Cambria" w:cs="Cambria" w:eastAsia="Cambria" w:hAnsi="Cambria"/>
          <w:color w:val="0f549b"/>
          <w:sz w:val="20"/>
          <w:szCs w:val="20"/>
          <w:highlight w:val="white"/>
          <w:rtl w:val="0"/>
        </w:rPr>
        <w:t xml:space="preserve"> </w:t>
      </w:r>
      <w:hyperlink r:id="rId8">
        <w:r w:rsidDel="00000000" w:rsidR="00000000" w:rsidRPr="00000000">
          <w:rPr>
            <w:rFonts w:ascii="Cambria" w:cs="Cambria" w:eastAsia="Cambria" w:hAnsi="Cambria"/>
            <w:color w:val="0f549b"/>
            <w:sz w:val="20"/>
            <w:szCs w:val="20"/>
            <w:rtl w:val="0"/>
          </w:rPr>
          <w:t xml:space="preserve">r2p@r2p.org.ua</w:t>
        </w:r>
      </w:hyperlink>
      <w:r w:rsidDel="00000000" w:rsidR="00000000" w:rsidRPr="00000000">
        <w:rPr>
          <w:rFonts w:ascii="Cambria" w:cs="Cambria" w:eastAsia="Cambria" w:hAnsi="Cambria"/>
          <w:color w:val="0f549b"/>
          <w:sz w:val="20"/>
          <w:szCs w:val="20"/>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ind w:left="32" w:firstLine="0"/>
        <w:rPr>
          <w:rFonts w:ascii="Cambria" w:cs="Cambria" w:eastAsia="Cambria" w:hAnsi="Cambria"/>
          <w:sz w:val="20"/>
          <w:szCs w:val="20"/>
        </w:rPr>
      </w:pPr>
      <w:r w:rsidDel="00000000" w:rsidR="00000000" w:rsidRPr="00000000">
        <w:rPr>
          <w:rFonts w:ascii="Cambria" w:cs="Cambria" w:eastAsia="Cambria" w:hAnsi="Cambria"/>
          <w:color w:val="0f549b"/>
          <w:sz w:val="20"/>
          <w:szCs w:val="20"/>
          <w:rtl w:val="0"/>
        </w:rPr>
        <w:tab/>
        <w:t xml:space="preserve">                                                               сайт: </w:t>
      </w:r>
      <w:hyperlink r:id="rId9">
        <w:r w:rsidDel="00000000" w:rsidR="00000000" w:rsidRPr="00000000">
          <w:rPr>
            <w:rFonts w:ascii="Cambria" w:cs="Cambria" w:eastAsia="Cambria" w:hAnsi="Cambria"/>
            <w:color w:val="0000ff"/>
            <w:sz w:val="20"/>
            <w:szCs w:val="20"/>
            <w:u w:val="single"/>
            <w:rtl w:val="0"/>
          </w:rPr>
          <w:t xml:space="preserve">https://r2p.org.ua/</w:t>
        </w:r>
      </w:hyperlink>
      <w:r w:rsidDel="00000000" w:rsidR="00000000" w:rsidRPr="00000000">
        <w:rPr>
          <w:rFonts w:ascii="Cambria" w:cs="Cambria" w:eastAsia="Cambria" w:hAnsi="Cambria"/>
          <w:color w:val="0f549b"/>
          <w:sz w:val="20"/>
          <w:szCs w:val="20"/>
          <w:rtl w:val="0"/>
        </w:rPr>
        <w:t xml:space="preserve"> </w:t>
      </w:r>
      <w:r w:rsidDel="00000000" w:rsidR="00000000" w:rsidRPr="00000000">
        <w:rPr>
          <w:rFonts w:ascii="Cambria" w:cs="Cambria" w:eastAsia="Cambria" w:hAnsi="Cambria"/>
          <w:color w:val="0f549b"/>
          <w:sz w:val="20"/>
          <w:szCs w:val="20"/>
          <w:highlight w:val="white"/>
          <w:rtl w:val="0"/>
        </w:rPr>
        <w:t xml:space="preserve">код згідно з ЄДРПОУ 38621206</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-648334</wp:posOffset>
            </wp:positionH>
            <wp:positionV relativeFrom="paragraph">
              <wp:posOffset>173990</wp:posOffset>
            </wp:positionV>
            <wp:extent cx="7730098" cy="223638"/>
            <wp:effectExtent b="0" l="0" r="0" t="0"/>
            <wp:wrapNone/>
            <wp:docPr id="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7730098" cy="223638"/>
                    </a:xfrm>
                    <a:prstGeom prst="rect"/>
                    <a:ln/>
                  </pic:spPr>
                </pic:pic>
              </a:graphicData>
            </a:graphic>
          </wp:anchor>
        </w:drawing>
      </w:r>
    </w:p>
    <w:p w:rsidR="00000000" w:rsidDel="00000000" w:rsidP="00000000" w:rsidRDefault="00000000" w:rsidRPr="00000000" w14:paraId="00000007">
      <w:pPr>
        <w:shd w:fill="ffffff" w:val="clear"/>
        <w:spacing w:after="0" w:line="24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08">
      <w:pPr>
        <w:spacing w:after="0" w:line="240" w:lineRule="auto"/>
        <w:ind w:firstLine="284"/>
        <w:jc w:val="center"/>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009">
      <w:pPr>
        <w:spacing w:after="0" w:line="240" w:lineRule="auto"/>
        <w:ind w:firstLine="284"/>
        <w:jc w:val="cente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ЗАПРОШЕННЯ ДО УЧАСТІ У ТЕНДЕРІ № Q1-T163-RFP NP</w:t>
      </w:r>
    </w:p>
    <w:p w:rsidR="00000000" w:rsidDel="00000000" w:rsidP="00000000" w:rsidRDefault="00000000" w:rsidRPr="00000000" w14:paraId="0000000A">
      <w:pPr>
        <w:spacing w:after="0" w:line="240" w:lineRule="auto"/>
        <w:ind w:firstLine="284"/>
        <w:jc w:val="center"/>
        <w:rPr>
          <w:rFonts w:ascii="Times New Roman" w:cs="Times New Roman" w:eastAsia="Times New Roman" w:hAnsi="Times New Roman"/>
          <w:b w:val="1"/>
          <w:smallCaps w:val="1"/>
          <w:color w:val="333333"/>
          <w:sz w:val="20"/>
          <w:szCs w:val="20"/>
          <w:highlight w:val="white"/>
        </w:rPr>
      </w:pPr>
      <w:r w:rsidDel="00000000" w:rsidR="00000000" w:rsidRPr="00000000">
        <w:rPr>
          <w:rFonts w:ascii="Times New Roman" w:cs="Times New Roman" w:eastAsia="Times New Roman" w:hAnsi="Times New Roman"/>
          <w:b w:val="1"/>
          <w:smallCaps w:val="1"/>
          <w:sz w:val="20"/>
          <w:szCs w:val="20"/>
          <w:rtl w:val="0"/>
        </w:rPr>
        <w:t xml:space="preserve">з вибору виконавця для</w:t>
      </w:r>
      <w:r w:rsidDel="00000000" w:rsidR="00000000" w:rsidRPr="00000000">
        <w:rPr>
          <w:rFonts w:ascii="Times New Roman" w:cs="Times New Roman" w:eastAsia="Times New Roman" w:hAnsi="Times New Roman"/>
          <w:b w:val="1"/>
          <w:smallCaps w:val="1"/>
          <w:color w:val="333333"/>
          <w:sz w:val="20"/>
          <w:szCs w:val="20"/>
          <w:highlight w:val="white"/>
          <w:rtl w:val="0"/>
        </w:rPr>
        <w:t xml:space="preserve"> Аудиторської перевірки діяльності Благодійної організації </w:t>
      </w:r>
    </w:p>
    <w:p w:rsidR="00000000" w:rsidDel="00000000" w:rsidP="00000000" w:rsidRDefault="00000000" w:rsidRPr="00000000" w14:paraId="0000000B">
      <w:pPr>
        <w:spacing w:after="0" w:line="240" w:lineRule="auto"/>
        <w:ind w:firstLine="284"/>
        <w:jc w:val="center"/>
        <w:rPr>
          <w:rFonts w:ascii="Times New Roman" w:cs="Times New Roman" w:eastAsia="Times New Roman" w:hAnsi="Times New Roman"/>
          <w:b w:val="1"/>
          <w:smallCaps w:val="1"/>
          <w:color w:val="333333"/>
          <w:sz w:val="20"/>
          <w:szCs w:val="20"/>
          <w:highlight w:val="white"/>
        </w:rPr>
      </w:pPr>
      <w:r w:rsidDel="00000000" w:rsidR="00000000" w:rsidRPr="00000000">
        <w:rPr>
          <w:rFonts w:ascii="Times New Roman" w:cs="Times New Roman" w:eastAsia="Times New Roman" w:hAnsi="Times New Roman"/>
          <w:b w:val="1"/>
          <w:smallCaps w:val="1"/>
          <w:sz w:val="20"/>
          <w:szCs w:val="20"/>
          <w:rtl w:val="0"/>
        </w:rPr>
        <w:t xml:space="preserve">«Благодійний  фонд «Право на захист»</w:t>
      </w:r>
      <w:r w:rsidDel="00000000" w:rsidR="00000000" w:rsidRPr="00000000">
        <w:rPr>
          <w:rtl w:val="0"/>
        </w:rPr>
      </w:r>
    </w:p>
    <w:p w:rsidR="00000000" w:rsidDel="00000000" w:rsidP="00000000" w:rsidRDefault="00000000" w:rsidRPr="00000000" w14:paraId="0000000C">
      <w:pPr>
        <w:spacing w:after="0" w:line="240" w:lineRule="auto"/>
        <w:ind w:firstLine="284"/>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mallCaps w:val="1"/>
          <w:sz w:val="20"/>
          <w:szCs w:val="20"/>
          <w:rtl w:val="0"/>
        </w:rPr>
        <w:t xml:space="preserve">ДАТА І ЧАС ЗАКІНЧЕННЯ ПРИЙНЯТТЯ ПРОПОЗИЦІЙ:</w:t>
      </w:r>
      <w:r w:rsidDel="00000000" w:rsidR="00000000" w:rsidRPr="00000000">
        <w:rPr>
          <w:rtl w:val="0"/>
        </w:rPr>
      </w:r>
    </w:p>
    <w:p w:rsidR="00000000" w:rsidDel="00000000" w:rsidP="00000000" w:rsidRDefault="00000000" w:rsidRPr="00000000" w14:paraId="0000000D">
      <w:pPr>
        <w:spacing w:after="0" w:line="240" w:lineRule="auto"/>
        <w:ind w:firstLine="284"/>
        <w:jc w:val="center"/>
        <w:rPr>
          <w:rFonts w:ascii="Times New Roman" w:cs="Times New Roman" w:eastAsia="Times New Roman" w:hAnsi="Times New Roman"/>
          <w:b w:val="1"/>
          <w:color w:val="0053f0"/>
          <w:sz w:val="20"/>
          <w:szCs w:val="20"/>
        </w:rPr>
      </w:pPr>
      <w:r w:rsidDel="00000000" w:rsidR="00000000" w:rsidRPr="00000000">
        <w:rPr>
          <w:rFonts w:ascii="Times New Roman" w:cs="Times New Roman" w:eastAsia="Times New Roman" w:hAnsi="Times New Roman"/>
          <w:b w:val="1"/>
          <w:color w:val="0000cc"/>
          <w:sz w:val="20"/>
          <w:szCs w:val="20"/>
          <w:u w:val="single"/>
          <w:rtl w:val="0"/>
        </w:rPr>
        <w:t xml:space="preserve">18 лютого 2025 р. – 23:59</w:t>
      </w:r>
      <w:r w:rsidDel="00000000" w:rsidR="00000000" w:rsidRPr="00000000">
        <w:rPr>
          <w:rFonts w:ascii="Times New Roman" w:cs="Times New Roman" w:eastAsia="Times New Roman" w:hAnsi="Times New Roman"/>
          <w:b w:val="1"/>
          <w:sz w:val="20"/>
          <w:szCs w:val="20"/>
          <w:u w:val="single"/>
          <w:rtl w:val="0"/>
        </w:rPr>
        <w:t xml:space="preserve"> за східноєвропейським часом на ел. адресу</w:t>
      </w:r>
      <w:r w:rsidDel="00000000" w:rsidR="00000000" w:rsidRPr="00000000">
        <w:rPr>
          <w:rFonts w:ascii="Times New Roman" w:cs="Times New Roman" w:eastAsia="Times New Roman" w:hAnsi="Times New Roman"/>
          <w:b w:val="1"/>
          <w:sz w:val="20"/>
          <w:szCs w:val="20"/>
          <w:rtl w:val="0"/>
        </w:rPr>
        <w:t xml:space="preserve"> </w:t>
      </w:r>
      <w:hyperlink r:id="rId11">
        <w:r w:rsidDel="00000000" w:rsidR="00000000" w:rsidRPr="00000000">
          <w:rPr>
            <w:rFonts w:ascii="Times New Roman" w:cs="Times New Roman" w:eastAsia="Times New Roman" w:hAnsi="Times New Roman"/>
            <w:b w:val="1"/>
            <w:color w:val="0000cc"/>
            <w:sz w:val="20"/>
            <w:szCs w:val="20"/>
            <w:u w:val="single"/>
            <w:rtl w:val="0"/>
          </w:rPr>
          <w:t xml:space="preserve">tender@r2p.org.ua</w:t>
        </w:r>
      </w:hyperlink>
      <w:r w:rsidDel="00000000" w:rsidR="00000000" w:rsidRPr="00000000">
        <w:rPr>
          <w:rtl w:val="0"/>
        </w:rPr>
      </w:r>
    </w:p>
    <w:p w:rsidR="00000000" w:rsidDel="00000000" w:rsidP="00000000" w:rsidRDefault="00000000" w:rsidRPr="00000000" w14:paraId="0000000E">
      <w:pPr>
        <w:spacing w:after="0" w:line="240" w:lineRule="auto"/>
        <w:ind w:firstLine="284"/>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F">
      <w:pPr>
        <w:pStyle w:val="Heading3"/>
        <w:numPr>
          <w:ilvl w:val="0"/>
          <w:numId w:val="5"/>
        </w:numPr>
        <w:tabs>
          <w:tab w:val="left" w:leader="none" w:pos="993"/>
        </w:tabs>
        <w:ind w:left="-283.46456692913375" w:firstLine="850.393700787401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ВСТУП</w:t>
      </w:r>
    </w:p>
    <w:p w:rsidR="00000000" w:rsidDel="00000000" w:rsidP="00000000" w:rsidRDefault="00000000" w:rsidRPr="00000000" w14:paraId="00000010">
      <w:pPr>
        <w:tabs>
          <w:tab w:val="left" w:leader="none" w:pos="993"/>
        </w:tabs>
        <w:spacing w:after="0" w:line="240" w:lineRule="auto"/>
        <w:ind w:firstLine="567"/>
        <w:jc w:val="both"/>
        <w:rPr>
          <w:rFonts w:ascii="Times New Roman" w:cs="Times New Roman" w:eastAsia="Times New Roman" w:hAnsi="Times New Roman"/>
          <w:color w:val="333333"/>
          <w:sz w:val="20"/>
          <w:szCs w:val="20"/>
          <w:highlight w:val="white"/>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Благодійна організація «Благодійний фонд «Право на захист» (далі – Організація) </w:t>
      </w:r>
      <w:r w:rsidDel="00000000" w:rsidR="00000000" w:rsidRPr="00000000">
        <w:rPr>
          <w:rFonts w:ascii="Times New Roman" w:cs="Times New Roman" w:eastAsia="Times New Roman" w:hAnsi="Times New Roman"/>
          <w:color w:val="333333"/>
          <w:sz w:val="20"/>
          <w:szCs w:val="20"/>
          <w:highlight w:val="white"/>
          <w:rtl w:val="0"/>
        </w:rPr>
        <w:t xml:space="preserve">бажає залучити аудиторську компанію з метою проведення комплексного аудиту Організації за повний фінансовий 2024 рік. </w:t>
      </w:r>
    </w:p>
    <w:p w:rsidR="00000000" w:rsidDel="00000000" w:rsidP="00000000" w:rsidRDefault="00000000" w:rsidRPr="00000000" w14:paraId="00000011">
      <w:pPr>
        <w:tabs>
          <w:tab w:val="left" w:leader="none" w:pos="993"/>
        </w:tabs>
        <w:spacing w:after="0" w:line="240" w:lineRule="auto"/>
        <w:ind w:firstLine="567"/>
        <w:jc w:val="both"/>
        <w:rPr>
          <w:rFonts w:ascii="Times New Roman" w:cs="Times New Roman" w:eastAsia="Times New Roman" w:hAnsi="Times New Roman"/>
          <w:color w:val="333333"/>
          <w:sz w:val="20"/>
          <w:szCs w:val="20"/>
          <w:highlight w:val="white"/>
        </w:rPr>
      </w:pPr>
      <w:r w:rsidDel="00000000" w:rsidR="00000000" w:rsidRPr="00000000">
        <w:rPr>
          <w:rFonts w:ascii="Times New Roman" w:cs="Times New Roman" w:eastAsia="Times New Roman" w:hAnsi="Times New Roman"/>
          <w:color w:val="333333"/>
          <w:sz w:val="20"/>
          <w:szCs w:val="20"/>
          <w:highlight w:val="white"/>
          <w:rtl w:val="0"/>
        </w:rPr>
        <w:t xml:space="preserve">Метод проведення аудиту - віддалений режим з можливістю відвідування офісу в окремі дні (за попереднім погодженням сторін).</w:t>
      </w:r>
    </w:p>
    <w:p w:rsidR="00000000" w:rsidDel="00000000" w:rsidP="00000000" w:rsidRDefault="00000000" w:rsidRPr="00000000" w14:paraId="00000012">
      <w:pPr>
        <w:tabs>
          <w:tab w:val="left" w:leader="none" w:pos="993"/>
        </w:tabs>
        <w:spacing w:after="0"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Період проведення а</w:t>
      </w:r>
      <w:r w:rsidDel="00000000" w:rsidR="00000000" w:rsidRPr="00000000">
        <w:rPr>
          <w:rFonts w:ascii="Times New Roman" w:cs="Times New Roman" w:eastAsia="Times New Roman" w:hAnsi="Times New Roman"/>
          <w:color w:val="333333"/>
          <w:sz w:val="20"/>
          <w:szCs w:val="20"/>
          <w:rtl w:val="0"/>
        </w:rPr>
        <w:t xml:space="preserve">удиту: </w:t>
      </w:r>
      <w:r w:rsidDel="00000000" w:rsidR="00000000" w:rsidRPr="00000000">
        <w:rPr>
          <w:rFonts w:ascii="Times New Roman" w:cs="Times New Roman" w:eastAsia="Times New Roman" w:hAnsi="Times New Roman"/>
          <w:b w:val="1"/>
          <w:sz w:val="20"/>
          <w:szCs w:val="20"/>
          <w:rtl w:val="0"/>
        </w:rPr>
        <w:t xml:space="preserve">01 квітня 2025 р.– 21 квітня 2025 р.</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3">
      <w:pPr>
        <w:tabs>
          <w:tab w:val="left" w:leader="none" w:pos="993"/>
        </w:tabs>
        <w:spacing w:after="0"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Просимо враховувати, що остаточний звіт до Організації подаєть</w:t>
      </w:r>
      <w:r w:rsidDel="00000000" w:rsidR="00000000" w:rsidRPr="00000000">
        <w:rPr>
          <w:rFonts w:ascii="Times New Roman" w:cs="Times New Roman" w:eastAsia="Times New Roman" w:hAnsi="Times New Roman"/>
          <w:color w:val="333333"/>
          <w:sz w:val="20"/>
          <w:szCs w:val="20"/>
          <w:rtl w:val="0"/>
        </w:rPr>
        <w:t xml:space="preserve">ся </w:t>
      </w:r>
      <w:r w:rsidDel="00000000" w:rsidR="00000000" w:rsidRPr="00000000">
        <w:rPr>
          <w:rFonts w:ascii="Times New Roman" w:cs="Times New Roman" w:eastAsia="Times New Roman" w:hAnsi="Times New Roman"/>
          <w:b w:val="1"/>
          <w:sz w:val="20"/>
          <w:szCs w:val="20"/>
          <w:rtl w:val="0"/>
        </w:rPr>
        <w:t xml:space="preserve">до 30 квітня 2025 р</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4">
      <w:pPr>
        <w:tabs>
          <w:tab w:val="left" w:leader="none" w:pos="993"/>
        </w:tabs>
        <w:spacing w:after="0" w:line="240" w:lineRule="auto"/>
        <w:ind w:firstLine="567"/>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5">
      <w:pPr>
        <w:pStyle w:val="Heading3"/>
        <w:numPr>
          <w:ilvl w:val="0"/>
          <w:numId w:val="5"/>
        </w:numPr>
        <w:tabs>
          <w:tab w:val="left" w:leader="none" w:pos="993"/>
        </w:tabs>
        <w:ind w:left="0" w:firstLine="566.92913385826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ПЕРЕДУМОВИ</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Витрати, понесені Організацією на основі касового методу за </w:t>
      </w:r>
      <w:r w:rsidDel="00000000" w:rsidR="00000000" w:rsidRPr="00000000">
        <w:rPr>
          <w:rFonts w:ascii="Times New Roman" w:cs="Times New Roman" w:eastAsia="Times New Roman" w:hAnsi="Times New Roman"/>
          <w:sz w:val="20"/>
          <w:szCs w:val="20"/>
          <w:rtl w:val="0"/>
        </w:rPr>
        <w:t xml:space="preserve">12 місяців 2024 року, орієнтовно становлять 1 599,7 млн. грн. Загальні активи Організації на 31.12.2024 р. орієнтовно становлять 497,2 млн. грн.(в т.ч.: необоротні активи – 56,5 млн. грн; грошові кошти 406,2 млн. грн; запаси – 15,7 млн. грн.; розрахунки – 16,2 млн. грн, інші активи – 2,6 млн. грн.)</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У попередні роки фінансові звіти загального призначення Організації перевірялися незалежними аудиторами.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Аудиту піддавалися звіти спеціального призначення відповідно до керівних принципів донорів.</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Організація є неприбутковою, не є платником ПДВ і податку на прибуток.</w:t>
      </w:r>
    </w:p>
    <w:p w:rsidR="00000000" w:rsidDel="00000000" w:rsidP="00000000" w:rsidRDefault="00000000" w:rsidRPr="00000000" w14:paraId="0000001A">
      <w:pPr>
        <w:tabs>
          <w:tab w:val="left" w:leader="none" w:pos="993"/>
        </w:tabs>
        <w:spacing w:after="0"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pStyle w:val="Heading1"/>
        <w:numPr>
          <w:ilvl w:val="0"/>
          <w:numId w:val="5"/>
        </w:numPr>
        <w:tabs>
          <w:tab w:val="left" w:leader="none" w:pos="520"/>
          <w:tab w:val="left" w:leader="none" w:pos="993"/>
        </w:tabs>
        <w:ind w:left="0" w:firstLine="566.92913385826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СТАНДАРТИ ЗВІТУВАННЯ</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Організація готує загальну фінансову звітність відповідно до національних положень (стандартів) бухгалтерського обліку.</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Звіти донорам Організація готує відповідно до керівних принципів Донора.</w:t>
      </w:r>
    </w:p>
    <w:p w:rsidR="00000000" w:rsidDel="00000000" w:rsidP="00000000" w:rsidRDefault="00000000" w:rsidRPr="00000000" w14:paraId="0000001E">
      <w:pPr>
        <w:tabs>
          <w:tab w:val="left" w:leader="none" w:pos="993"/>
        </w:tabs>
        <w:spacing w:after="0" w:line="240" w:lineRule="auto"/>
        <w:ind w:firstLine="567"/>
        <w:jc w:val="both"/>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1F">
      <w:pPr>
        <w:pStyle w:val="Heading1"/>
        <w:numPr>
          <w:ilvl w:val="0"/>
          <w:numId w:val="5"/>
        </w:numPr>
        <w:tabs>
          <w:tab w:val="left" w:leader="none" w:pos="993"/>
        </w:tabs>
        <w:ind w:left="0" w:firstLine="566.92913385826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ЦІЛІ ТА ОБСЯГ РОБОТИ ДЛЯ АУДИТУ</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Аудит здійснюється відповідно до Міжнародних стандартів аудиту (ISA), виданих IAASB (Радою з міжнародних стандартів аудиту та гарантій). Аудит здійснюється зовнішнім, незалежним та кваліфікованим аудитором (призначений державний бухгалтер / уповноважений державний бухгалтер тощо).</w:t>
      </w:r>
    </w:p>
    <w:p w:rsidR="00000000" w:rsidDel="00000000" w:rsidP="00000000" w:rsidRDefault="00000000" w:rsidRPr="00000000" w14:paraId="00000021">
      <w:pPr>
        <w:tabs>
          <w:tab w:val="left" w:leader="none" w:pos="993"/>
        </w:tabs>
        <w:spacing w:after="0" w:line="240" w:lineRule="auto"/>
        <w:ind w:firstLine="567"/>
        <w:jc w:val="both"/>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22">
      <w:pPr>
        <w:pStyle w:val="Heading1"/>
        <w:tabs>
          <w:tab w:val="left" w:leader="none" w:pos="993"/>
        </w:tabs>
        <w:ind w:left="0" w:firstLine="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Метою є проведення Аудиту фінансової звітності загального призначення:</w:t>
      </w:r>
    </w:p>
    <w:p w:rsidR="00000000" w:rsidDel="00000000" w:rsidP="00000000" w:rsidRDefault="00000000" w:rsidRPr="00000000" w14:paraId="00000023">
      <w:pPr>
        <w:widowControl w:val="0"/>
        <w:numPr>
          <w:ilvl w:val="2"/>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Висловити незалежну аудиторську думку щодо того, чи фінансова звітність загального призначення (Баланс, Звіт про фінансові результати) у Організації представлена достатньо, у всіх суттєвих аспектах фінансового стану Організації станом на 31 грудня 2024 року та зміни в активах за рік, що закінчився, результати діяльності за 2024 рік, що закінчився, відповідають Національним правилам бухгалтерського обліку (стандартів).</w:t>
      </w:r>
    </w:p>
    <w:p w:rsidR="00000000" w:rsidDel="00000000" w:rsidP="00000000" w:rsidRDefault="00000000" w:rsidRPr="00000000" w14:paraId="00000024">
      <w:pPr>
        <w:widowControl w:val="0"/>
        <w:numPr>
          <w:ilvl w:val="2"/>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Оцінити ризик контролю та виявити суттєві (змістовно) недоліки, включаючи істотні (фінансово) недоліки, в межах процедур аудиту, необхідних для висловлення думки; узагальнити висновки щодо питань внутрішнього контролю Організації.</w:t>
      </w:r>
    </w:p>
    <w:p w:rsidR="00000000" w:rsidDel="00000000" w:rsidP="00000000" w:rsidRDefault="00000000" w:rsidRPr="00000000" w14:paraId="00000025">
      <w:pPr>
        <w:widowControl w:val="0"/>
        <w:numPr>
          <w:ilvl w:val="2"/>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Оцінити дотримання Організацією національного податкового законодавства та нормативно-правових актів.</w:t>
      </w:r>
    </w:p>
    <w:p w:rsidR="00000000" w:rsidDel="00000000" w:rsidP="00000000" w:rsidRDefault="00000000" w:rsidRPr="00000000" w14:paraId="00000026">
      <w:pPr>
        <w:widowControl w:val="0"/>
        <w:numPr>
          <w:ilvl w:val="2"/>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Визначити, чи вживала Організація належні коригувальні заходи щодо попередніх аудиторських рекомендацій.</w:t>
      </w:r>
    </w:p>
    <w:p w:rsidR="00000000" w:rsidDel="00000000" w:rsidP="00000000" w:rsidRDefault="00000000" w:rsidRPr="00000000" w14:paraId="00000027">
      <w:pPr>
        <w:widowControl w:val="0"/>
        <w:numPr>
          <w:ilvl w:val="2"/>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Аудитори повинні переглянути та коротко описати в підсумковому розділі аудиторського звіту стан дій, вжитих по всіх висновках та рекомендаціях, які були надані в попередніх аудитах Організації.</w:t>
      </w:r>
    </w:p>
    <w:p w:rsidR="00000000" w:rsidDel="00000000" w:rsidP="00000000" w:rsidRDefault="00000000" w:rsidRPr="00000000" w14:paraId="00000028">
      <w:pPr>
        <w:tabs>
          <w:tab w:val="left" w:leader="none" w:pos="993"/>
        </w:tabs>
        <w:spacing w:after="0" w:line="240" w:lineRule="auto"/>
        <w:ind w:firstLine="567"/>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9">
      <w:pPr>
        <w:pStyle w:val="Heading1"/>
        <w:numPr>
          <w:ilvl w:val="0"/>
          <w:numId w:val="3"/>
        </w:numPr>
        <w:tabs>
          <w:tab w:val="left" w:leader="none" w:pos="993"/>
        </w:tabs>
        <w:ind w:left="0"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ЗВІТНІСТЬ АУДИТОРА</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Звітність повинна містити деталі щодо аудиторської методології та обсягу аудиту, які були використані під час аудиту.</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Звітність повинна містити гарантію, що аудит </w:t>
      </w:r>
      <w:r w:rsidDel="00000000" w:rsidR="00000000" w:rsidRPr="00000000">
        <w:rPr>
          <w:rFonts w:ascii="Times New Roman" w:cs="Times New Roman" w:eastAsia="Times New Roman" w:hAnsi="Times New Roman"/>
          <w:sz w:val="20"/>
          <w:szCs w:val="20"/>
          <w:rtl w:val="0"/>
        </w:rPr>
        <w:t xml:space="preserve">проводиться</w:t>
      </w:r>
      <w:r w:rsidDel="00000000" w:rsidR="00000000" w:rsidRPr="00000000">
        <w:rPr>
          <w:rFonts w:ascii="Times New Roman" w:cs="Times New Roman" w:eastAsia="Times New Roman" w:hAnsi="Times New Roman"/>
          <w:color w:val="000000"/>
          <w:sz w:val="20"/>
          <w:szCs w:val="20"/>
          <w:rtl w:val="0"/>
        </w:rPr>
        <w:t xml:space="preserve"> відповідно до міжнародних стандартів аудиту IAASB та кваліфікованим аудитором.</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Звіт незалежного аудитора повинен чітко визначати, згідно якого стандарту проводи</w:t>
      </w:r>
      <w:r w:rsidDel="00000000" w:rsidR="00000000" w:rsidRPr="00000000">
        <w:rPr>
          <w:rFonts w:ascii="Times New Roman" w:cs="Times New Roman" w:eastAsia="Times New Roman" w:hAnsi="Times New Roman"/>
          <w:sz w:val="20"/>
          <w:szCs w:val="20"/>
          <w:rtl w:val="0"/>
        </w:rPr>
        <w:t xml:space="preserve">ть</w:t>
      </w:r>
      <w:r w:rsidDel="00000000" w:rsidR="00000000" w:rsidRPr="00000000">
        <w:rPr>
          <w:rFonts w:ascii="Times New Roman" w:cs="Times New Roman" w:eastAsia="Times New Roman" w:hAnsi="Times New Roman"/>
          <w:color w:val="000000"/>
          <w:sz w:val="20"/>
          <w:szCs w:val="20"/>
          <w:rtl w:val="0"/>
        </w:rPr>
        <w:t xml:space="preserve">ся аудит (наприклад, МСА 800/805).</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Фінансовий звіт, який був предметом аудиту, додається до аудиторської звітності.</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Звітність повинна містити підпис відповідального аудитора, титульну сторінку та назву аудиторської компанії.</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Аудиторські звіти та управлінський лист складаються українською та англійською мовами, кожна в 3 друкованих виданнях та 1 електронному (pdf форматі).</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Очікується, що аудитор подає до Організації:</w:t>
      </w:r>
    </w:p>
    <w:p w:rsidR="00000000" w:rsidDel="00000000" w:rsidP="00000000" w:rsidRDefault="00000000" w:rsidRPr="00000000" w14:paraId="00000032">
      <w:pPr>
        <w:widowControl w:val="0"/>
        <w:numPr>
          <w:ilvl w:val="1"/>
          <w:numId w:val="1"/>
        </w:numPr>
        <w:tabs>
          <w:tab w:val="left" w:leader="none" w:pos="1129"/>
        </w:tabs>
        <w:spacing w:after="0" w:line="240" w:lineRule="auto"/>
        <w:ind w:left="0" w:firstLine="567"/>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Звіт незалежного аудитора стосовно фінансової звітності загального призначення за</w:t>
      </w:r>
      <w:r w:rsidDel="00000000" w:rsidR="00000000" w:rsidRPr="00000000">
        <w:rPr>
          <w:rFonts w:ascii="Times New Roman" w:cs="Times New Roman" w:eastAsia="Times New Roman" w:hAnsi="Times New Roman"/>
          <w:b w:val="1"/>
          <w:sz w:val="20"/>
          <w:szCs w:val="20"/>
          <w:rtl w:val="0"/>
        </w:rPr>
        <w:t xml:space="preserve"> повний 2024 фінансовий рік.</w:t>
      </w:r>
      <w:r w:rsidDel="00000000" w:rsidR="00000000" w:rsidRPr="00000000">
        <w:rPr>
          <w:rtl w:val="0"/>
        </w:rPr>
      </w:r>
    </w:p>
    <w:p w:rsidR="00000000" w:rsidDel="00000000" w:rsidP="00000000" w:rsidRDefault="00000000" w:rsidRPr="00000000" w14:paraId="00000033">
      <w:pPr>
        <w:widowControl w:val="0"/>
        <w:numPr>
          <w:ilvl w:val="1"/>
          <w:numId w:val="1"/>
        </w:numPr>
        <w:tabs>
          <w:tab w:val="left" w:leader="none" w:pos="1129"/>
        </w:tabs>
        <w:spacing w:after="0" w:line="240" w:lineRule="auto"/>
        <w:ind w:left="0" w:firstLine="567"/>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Управлінський лист</w:t>
      </w:r>
      <w:r w:rsidDel="00000000" w:rsidR="00000000" w:rsidRPr="00000000">
        <w:rPr>
          <w:rtl w:val="0"/>
        </w:rPr>
      </w:r>
    </w:p>
    <w:p w:rsidR="00000000" w:rsidDel="00000000" w:rsidP="00000000" w:rsidRDefault="00000000" w:rsidRPr="00000000" w14:paraId="00000034">
      <w:pPr>
        <w:widowControl w:val="0"/>
        <w:tabs>
          <w:tab w:val="left" w:leader="none" w:pos="1129"/>
        </w:tabs>
        <w:spacing w:after="0" w:line="240" w:lineRule="auto"/>
        <w:ind w:left="567"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У поєднанні з аудитом зовнішній аудитор повинен оцінити операційні та внутрішні процедури контролю, які можна було б покращити. Виявлені слабкі сторони внутрішнього контролю (висновки), повинні бути повідомлені зовнішнім аудитором у формальному управлінському листі.</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Перелік висновків не обмежується обсягом робіт, та аудитор може вільно розглядати додаткові запитання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Лист керівництву також включає рекомендації зовнішнього аудитора для вирішення будь-яких виявлених недоліків, а також питання невідповідності національним податковим законам і нормативним актам та зауваження керівництву Організації. Рекомендації мають бути представлені в пріоритетному порядку.</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Аудитори повинні визначити, чи вживала Організація адекватні коригувальні дії щодо попередніх рекомендацій з аудиту, переглянути та коротко описати стан вжитих заходів.</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Проект листа керівництву надсилається від зовнішніх аудиторів до Президента з копією Фінансовому директору Організації для коментарів щодо висновків та рекомендованих подальших дій. Зовнішній аудитор повинен потім підготувати остаточний управлінський лист, коротко вказавши коментарі керівництва. Остаточний управлінський лист надсилається Президенту Організації.</w:t>
      </w:r>
    </w:p>
    <w:p w:rsidR="00000000" w:rsidDel="00000000" w:rsidP="00000000" w:rsidRDefault="00000000" w:rsidRPr="00000000" w14:paraId="0000003A">
      <w:pPr>
        <w:tabs>
          <w:tab w:val="left" w:leader="none" w:pos="993"/>
        </w:tabs>
        <w:spacing w:after="0" w:line="240" w:lineRule="auto"/>
        <w:ind w:firstLine="567"/>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B">
      <w:pPr>
        <w:pStyle w:val="Heading1"/>
        <w:numPr>
          <w:ilvl w:val="0"/>
          <w:numId w:val="3"/>
        </w:numPr>
        <w:tabs>
          <w:tab w:val="left" w:leader="none" w:pos="993"/>
        </w:tabs>
        <w:ind w:left="0" w:firstLine="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УМОВИ ВИКОНАННЯ</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Кінцеві терміни домовленостей і проведення аудиту :</w:t>
      </w:r>
    </w:p>
    <w:tbl>
      <w:tblPr>
        <w:tblStyle w:val="Table1"/>
        <w:tblW w:w="9765.0" w:type="dxa"/>
        <w:jc w:val="left"/>
        <w:tblInd w:w="4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35"/>
        <w:gridCol w:w="3430"/>
        <w:tblGridChange w:id="0">
          <w:tblGrid>
            <w:gridCol w:w="6335"/>
            <w:gridCol w:w="3430"/>
          </w:tblGrid>
        </w:tblGridChange>
      </w:tblGrid>
      <w:tr>
        <w:trPr>
          <w:cantSplit w:val="0"/>
          <w:trHeight w:val="284" w:hRule="atLeast"/>
          <w:tblHeader w:val="0"/>
        </w:trPr>
        <w:tc>
          <w:tcPr>
            <w:vAlign w:val="center"/>
          </w:tcPr>
          <w:p w:rsidR="00000000" w:rsidDel="00000000" w:rsidP="00000000" w:rsidRDefault="00000000" w:rsidRPr="00000000" w14:paraId="0000003D">
            <w:pPr>
              <w:numPr>
                <w:ilvl w:val="1"/>
                <w:numId w:val="3"/>
              </w:numPr>
              <w:pBdr>
                <w:top w:space="0" w:sz="0" w:val="nil"/>
                <w:left w:space="0" w:sz="0" w:val="nil"/>
                <w:bottom w:space="0" w:sz="0" w:val="nil"/>
                <w:right w:space="0" w:sz="0" w:val="nil"/>
                <w:between w:space="0" w:sz="0" w:val="nil"/>
              </w:pBdr>
              <w:tabs>
                <w:tab w:val="left" w:leader="none" w:pos="413"/>
                <w:tab w:val="left" w:leader="none" w:pos="993"/>
              </w:tabs>
              <w:ind w:left="0" w:firstLine="12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Ведення переговорів та підписання контракту:</w:t>
            </w:r>
          </w:p>
        </w:tc>
        <w:tc>
          <w:tcPr>
            <w:vAlign w:val="center"/>
          </w:tcPr>
          <w:p w:rsidR="00000000" w:rsidDel="00000000" w:rsidP="00000000" w:rsidRDefault="00000000" w:rsidRPr="00000000" w14:paraId="0000003E">
            <w:pPr>
              <w:numPr>
                <w:ilvl w:val="1"/>
                <w:numId w:val="3"/>
              </w:numPr>
              <w:pBdr>
                <w:top w:space="0" w:sz="0" w:val="nil"/>
                <w:left w:space="0" w:sz="0" w:val="nil"/>
                <w:bottom w:space="0" w:sz="0" w:val="nil"/>
                <w:right w:space="0" w:sz="0" w:val="nil"/>
                <w:between w:space="0" w:sz="0" w:val="nil"/>
              </w:pBdr>
              <w:tabs>
                <w:tab w:val="left" w:leader="none" w:pos="205"/>
                <w:tab w:val="left" w:leader="none" w:pos="993"/>
              </w:tabs>
              <w:ind w:left="0" w:firstLine="36"/>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до </w:t>
            </w:r>
            <w:r w:rsidDel="00000000" w:rsidR="00000000" w:rsidRPr="00000000">
              <w:rPr>
                <w:rFonts w:ascii="Times New Roman" w:cs="Times New Roman" w:eastAsia="Times New Roman" w:hAnsi="Times New Roman"/>
                <w:sz w:val="20"/>
                <w:szCs w:val="20"/>
                <w:rtl w:val="0"/>
              </w:rPr>
              <w:t xml:space="preserve">03.03</w:t>
            </w:r>
            <w:r w:rsidDel="00000000" w:rsidR="00000000" w:rsidRPr="00000000">
              <w:rPr>
                <w:rFonts w:ascii="Times New Roman" w:cs="Times New Roman" w:eastAsia="Times New Roman" w:hAnsi="Times New Roman"/>
                <w:color w:val="000000"/>
                <w:sz w:val="20"/>
                <w:szCs w:val="20"/>
                <w:rtl w:val="0"/>
              </w:rPr>
              <w:t xml:space="preserve">.202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 р.</w:t>
            </w:r>
          </w:p>
        </w:tc>
      </w:tr>
      <w:tr>
        <w:trPr>
          <w:cantSplit w:val="0"/>
          <w:trHeight w:val="284" w:hRule="atLeast"/>
          <w:tblHeader w:val="0"/>
        </w:trPr>
        <w:tc>
          <w:tcPr>
            <w:vAlign w:val="center"/>
          </w:tcPr>
          <w:p w:rsidR="00000000" w:rsidDel="00000000" w:rsidP="00000000" w:rsidRDefault="00000000" w:rsidRPr="00000000" w14:paraId="0000003F">
            <w:pPr>
              <w:numPr>
                <w:ilvl w:val="1"/>
                <w:numId w:val="3"/>
              </w:numPr>
              <w:pBdr>
                <w:top w:space="0" w:sz="0" w:val="nil"/>
                <w:left w:space="0" w:sz="0" w:val="nil"/>
                <w:bottom w:space="0" w:sz="0" w:val="nil"/>
                <w:right w:space="0" w:sz="0" w:val="nil"/>
                <w:between w:space="0" w:sz="0" w:val="nil"/>
              </w:pBdr>
              <w:tabs>
                <w:tab w:val="left" w:leader="none" w:pos="413"/>
                <w:tab w:val="left" w:leader="none" w:pos="993"/>
              </w:tabs>
              <w:ind w:left="0" w:firstLine="12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Польові роботи з аудиту повинні бути завершені:</w:t>
            </w:r>
          </w:p>
        </w:tc>
        <w:tc>
          <w:tcPr>
            <w:vAlign w:val="center"/>
          </w:tcPr>
          <w:p w:rsidR="00000000" w:rsidDel="00000000" w:rsidP="00000000" w:rsidRDefault="00000000" w:rsidRPr="00000000" w14:paraId="00000040">
            <w:pPr>
              <w:numPr>
                <w:ilvl w:val="1"/>
                <w:numId w:val="3"/>
              </w:numPr>
              <w:pBdr>
                <w:top w:space="0" w:sz="0" w:val="nil"/>
                <w:left w:space="0" w:sz="0" w:val="nil"/>
                <w:bottom w:space="0" w:sz="0" w:val="nil"/>
                <w:right w:space="0" w:sz="0" w:val="nil"/>
                <w:between w:space="0" w:sz="0" w:val="nil"/>
              </w:pBdr>
              <w:tabs>
                <w:tab w:val="left" w:leader="none" w:pos="205"/>
                <w:tab w:val="left" w:leader="none" w:pos="993"/>
              </w:tabs>
              <w:ind w:left="0" w:firstLine="36"/>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до 21.04.2025 р.</w:t>
            </w: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41">
            <w:pPr>
              <w:numPr>
                <w:ilvl w:val="1"/>
                <w:numId w:val="3"/>
              </w:numPr>
              <w:pBdr>
                <w:top w:space="0" w:sz="0" w:val="nil"/>
                <w:left w:space="0" w:sz="0" w:val="nil"/>
                <w:bottom w:space="0" w:sz="0" w:val="nil"/>
                <w:right w:space="0" w:sz="0" w:val="nil"/>
                <w:between w:space="0" w:sz="0" w:val="nil"/>
              </w:pBdr>
              <w:tabs>
                <w:tab w:val="left" w:leader="none" w:pos="413"/>
                <w:tab w:val="left" w:leader="none" w:pos="993"/>
              </w:tabs>
              <w:ind w:left="0" w:firstLine="12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Проект аудиторського звіту та управлінського листа:</w:t>
            </w:r>
          </w:p>
        </w:tc>
        <w:tc>
          <w:tcPr>
            <w:vAlign w:val="center"/>
          </w:tcPr>
          <w:p w:rsidR="00000000" w:rsidDel="00000000" w:rsidP="00000000" w:rsidRDefault="00000000" w:rsidRPr="00000000" w14:paraId="00000042">
            <w:pPr>
              <w:numPr>
                <w:ilvl w:val="1"/>
                <w:numId w:val="3"/>
              </w:numPr>
              <w:pBdr>
                <w:top w:space="0" w:sz="0" w:val="nil"/>
                <w:left w:space="0" w:sz="0" w:val="nil"/>
                <w:bottom w:space="0" w:sz="0" w:val="nil"/>
                <w:right w:space="0" w:sz="0" w:val="nil"/>
                <w:between w:space="0" w:sz="0" w:val="nil"/>
              </w:pBdr>
              <w:tabs>
                <w:tab w:val="left" w:leader="none" w:pos="205"/>
                <w:tab w:val="left" w:leader="none" w:pos="993"/>
              </w:tabs>
              <w:ind w:left="0" w:firstLine="36"/>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до 24.04.2025 р. </w:t>
            </w:r>
          </w:p>
        </w:tc>
      </w:tr>
      <w:tr>
        <w:trPr>
          <w:cantSplit w:val="0"/>
          <w:trHeight w:val="284" w:hRule="atLeast"/>
          <w:tblHeader w:val="0"/>
        </w:trPr>
        <w:tc>
          <w:tcPr>
            <w:vAlign w:val="center"/>
          </w:tcPr>
          <w:p w:rsidR="00000000" w:rsidDel="00000000" w:rsidP="00000000" w:rsidRDefault="00000000" w:rsidRPr="00000000" w14:paraId="00000043">
            <w:pPr>
              <w:numPr>
                <w:ilvl w:val="1"/>
                <w:numId w:val="3"/>
              </w:numPr>
              <w:pBdr>
                <w:top w:space="0" w:sz="0" w:val="nil"/>
                <w:left w:space="0" w:sz="0" w:val="nil"/>
                <w:bottom w:space="0" w:sz="0" w:val="nil"/>
                <w:right w:space="0" w:sz="0" w:val="nil"/>
                <w:between w:space="0" w:sz="0" w:val="nil"/>
              </w:pBdr>
              <w:tabs>
                <w:tab w:val="left" w:leader="none" w:pos="413"/>
                <w:tab w:val="left" w:leader="none" w:pos="993"/>
              </w:tabs>
              <w:ind w:left="0" w:firstLine="1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Остаточний звіт з аудиту та управлінський лист:</w:t>
            </w:r>
          </w:p>
        </w:tc>
        <w:tc>
          <w:tcPr>
            <w:vAlign w:val="center"/>
          </w:tcPr>
          <w:p w:rsidR="00000000" w:rsidDel="00000000" w:rsidP="00000000" w:rsidRDefault="00000000" w:rsidRPr="00000000" w14:paraId="00000044">
            <w:pPr>
              <w:numPr>
                <w:ilvl w:val="1"/>
                <w:numId w:val="3"/>
              </w:numPr>
              <w:pBdr>
                <w:top w:space="0" w:sz="0" w:val="nil"/>
                <w:left w:space="0" w:sz="0" w:val="nil"/>
                <w:bottom w:space="0" w:sz="0" w:val="nil"/>
                <w:right w:space="0" w:sz="0" w:val="nil"/>
                <w:between w:space="0" w:sz="0" w:val="nil"/>
              </w:pBdr>
              <w:tabs>
                <w:tab w:val="left" w:leader="none" w:pos="205"/>
                <w:tab w:val="left" w:leader="none" w:pos="993"/>
              </w:tabs>
              <w:ind w:left="0" w:firstLine="36"/>
              <w:rPr>
                <w:rFonts w:ascii="Times New Roman" w:cs="Times New Roman" w:eastAsia="Times New Roman" w:hAnsi="Times New Roman"/>
                <w:color w:val="000000"/>
                <w:sz w:val="20"/>
                <w:szCs w:val="20"/>
              </w:rPr>
            </w:pPr>
            <w:bookmarkStart w:colFirst="0" w:colLast="0" w:name="_heading=h.30j0zll" w:id="1"/>
            <w:bookmarkEnd w:id="1"/>
            <w:r w:rsidDel="00000000" w:rsidR="00000000" w:rsidRPr="00000000">
              <w:rPr>
                <w:rFonts w:ascii="Times New Roman" w:cs="Times New Roman" w:eastAsia="Times New Roman" w:hAnsi="Times New Roman"/>
                <w:color w:val="000000"/>
                <w:sz w:val="20"/>
                <w:szCs w:val="20"/>
                <w:rtl w:val="0"/>
              </w:rPr>
              <w:t xml:space="preserve">до </w:t>
            </w:r>
            <w:r w:rsidDel="00000000" w:rsidR="00000000" w:rsidRPr="00000000">
              <w:rPr>
                <w:rFonts w:ascii="Times New Roman" w:cs="Times New Roman" w:eastAsia="Times New Roman" w:hAnsi="Times New Roman"/>
                <w:sz w:val="20"/>
                <w:szCs w:val="20"/>
                <w:rtl w:val="0"/>
              </w:rPr>
              <w:t xml:space="preserve">30.04.2025 р.</w:t>
            </w:r>
            <w:r w:rsidDel="00000000" w:rsidR="00000000" w:rsidRPr="00000000">
              <w:rPr>
                <w:rFonts w:ascii="Times New Roman" w:cs="Times New Roman" w:eastAsia="Times New Roman" w:hAnsi="Times New Roman"/>
                <w:color w:val="000000"/>
                <w:sz w:val="20"/>
                <w:szCs w:val="20"/>
                <w:rtl w:val="0"/>
              </w:rPr>
              <w:t xml:space="preserve"> </w:t>
            </w:r>
          </w:p>
        </w:tc>
      </w:tr>
    </w:tbl>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u w:val="single"/>
          <w:rtl w:val="0"/>
        </w:rPr>
        <w:t xml:space="preserve">Звіт</w:t>
      </w:r>
      <w:r w:rsidDel="00000000" w:rsidR="00000000" w:rsidRPr="00000000">
        <w:rPr>
          <w:rFonts w:ascii="Times New Roman" w:cs="Times New Roman" w:eastAsia="Times New Roman" w:hAnsi="Times New Roman"/>
          <w:color w:val="000000"/>
          <w:sz w:val="20"/>
          <w:szCs w:val="20"/>
          <w:rtl w:val="0"/>
        </w:rPr>
        <w:t xml:space="preserve"> аудитора надається безпосередньо до  Організації.</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u w:val="single"/>
          <w:rtl w:val="0"/>
        </w:rPr>
        <w:t xml:space="preserve">Оплата</w:t>
      </w:r>
      <w:r w:rsidDel="00000000" w:rsidR="00000000" w:rsidRPr="00000000">
        <w:rPr>
          <w:rFonts w:ascii="Times New Roman" w:cs="Times New Roman" w:eastAsia="Times New Roman" w:hAnsi="Times New Roman"/>
          <w:color w:val="000000"/>
          <w:sz w:val="20"/>
          <w:szCs w:val="20"/>
          <w:rtl w:val="0"/>
        </w:rPr>
        <w:t xml:space="preserve"> буде здійснюватися за безготівковим розрахунком повною післяплатою або частковою попередньою оплатою не більше 50 %</w:t>
      </w:r>
    </w:p>
    <w:p w:rsidR="00000000" w:rsidDel="00000000" w:rsidP="00000000" w:rsidRDefault="00000000" w:rsidRPr="00000000" w14:paraId="00000047">
      <w:pPr>
        <w:pStyle w:val="Heading1"/>
        <w:tabs>
          <w:tab w:val="left" w:leader="none" w:pos="993"/>
        </w:tabs>
        <w:ind w:left="0" w:firstLine="567"/>
        <w:jc w:val="both"/>
        <w:rPr>
          <w:rFonts w:ascii="Times New Roman" w:cs="Times New Roman" w:eastAsia="Times New Roman" w:hAnsi="Times New Roman"/>
          <w:b w:val="0"/>
          <w:sz w:val="8"/>
          <w:szCs w:val="8"/>
        </w:rPr>
      </w:pPr>
      <w:r w:rsidDel="00000000" w:rsidR="00000000" w:rsidRPr="00000000">
        <w:rPr>
          <w:rtl w:val="0"/>
        </w:rPr>
      </w:r>
    </w:p>
    <w:p w:rsidR="00000000" w:rsidDel="00000000" w:rsidP="00000000" w:rsidRDefault="00000000" w:rsidRPr="00000000" w14:paraId="00000048">
      <w:pPr>
        <w:pStyle w:val="Heading1"/>
        <w:numPr>
          <w:ilvl w:val="0"/>
          <w:numId w:val="2"/>
        </w:numPr>
        <w:tabs>
          <w:tab w:val="left" w:leader="none" w:pos="993"/>
        </w:tabs>
        <w:ind w:left="0"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ДОСТУП ДО ЗАСОБІВ ТА ДОКУМЕНТІВ</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Організація </w:t>
      </w:r>
      <w:r w:rsidDel="00000000" w:rsidR="00000000" w:rsidRPr="00000000">
        <w:rPr>
          <w:rFonts w:ascii="Times New Roman" w:cs="Times New Roman" w:eastAsia="Times New Roman" w:hAnsi="Times New Roman"/>
          <w:sz w:val="20"/>
          <w:szCs w:val="20"/>
          <w:highlight w:val="white"/>
          <w:rtl w:val="0"/>
        </w:rPr>
        <w:t xml:space="preserve">зобов’язується надати аудитору доступ до усієї інформації та документів, які стосуються діяльності та фінансової звітності Організації, та надати всі необхідні роз’яснення, у тому числі у письмовій формі</w:t>
      </w:r>
      <w:r w:rsidDel="00000000" w:rsidR="00000000" w:rsidRPr="00000000">
        <w:rPr>
          <w:rFonts w:ascii="Times New Roman" w:cs="Times New Roman" w:eastAsia="Times New Roman" w:hAnsi="Times New Roman"/>
          <w:sz w:val="20"/>
          <w:szCs w:val="20"/>
          <w:rtl w:val="0"/>
        </w:rPr>
        <w:t xml:space="preserve">, щоб аудитор зміг отримати повну інформацію щодо ф</w:t>
      </w:r>
      <w:r w:rsidDel="00000000" w:rsidR="00000000" w:rsidRPr="00000000">
        <w:rPr>
          <w:rFonts w:ascii="Times New Roman" w:cs="Times New Roman" w:eastAsia="Times New Roman" w:hAnsi="Times New Roman"/>
          <w:color w:val="000000"/>
          <w:sz w:val="20"/>
          <w:szCs w:val="20"/>
          <w:rtl w:val="0"/>
        </w:rPr>
        <w:t xml:space="preserve">інансового стану Організації.</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8"/>
          <w:szCs w:val="8"/>
        </w:rPr>
      </w:pPr>
      <w:r w:rsidDel="00000000" w:rsidR="00000000" w:rsidRPr="00000000">
        <w:rPr>
          <w:rtl w:val="0"/>
        </w:rPr>
      </w:r>
    </w:p>
    <w:p w:rsidR="00000000" w:rsidDel="00000000" w:rsidP="00000000" w:rsidRDefault="00000000" w:rsidRPr="00000000" w14:paraId="0000004B">
      <w:pPr>
        <w:pStyle w:val="Heading3"/>
        <w:numPr>
          <w:ilvl w:val="0"/>
          <w:numId w:val="2"/>
        </w:numPr>
        <w:tabs>
          <w:tab w:val="left" w:leader="none" w:pos="1134"/>
        </w:tabs>
        <w:ind w:left="0"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ВИБІР АУДИТОРА</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Аудитор повинен бути повністю неупередженим та незалежним від усіх аспектів управління або фінансових інтересів в Організації. Протягом періоду, на який поширюється аудит, а також під час проведення аудиту, аудитор не повинен працювати, виконувати функції директора або мати будь-які фінансові, сімейні або тісні ділові відносини або будь-яке інше відношення чи спільний інтерес з будь-яким іншим працівниками в управлінні Організацією. У цьому аспекті Організація просить аудитора розкрити будь-які відносини, які могли б поставити під загрозу його / її незалежність.</w:t>
      </w:r>
    </w:p>
    <w:p w:rsidR="00000000" w:rsidDel="00000000" w:rsidP="00000000" w:rsidRDefault="00000000" w:rsidRPr="00000000" w14:paraId="0000004D">
      <w:pPr>
        <w:tabs>
          <w:tab w:val="left" w:leader="none" w:pos="993"/>
        </w:tabs>
        <w:spacing w:after="0" w:line="240" w:lineRule="auto"/>
        <w:ind w:firstLine="567"/>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4E">
      <w:pPr>
        <w:pStyle w:val="Heading3"/>
        <w:tabs>
          <w:tab w:val="left" w:leader="none" w:pos="827"/>
          <w:tab w:val="left" w:leader="none" w:pos="993"/>
        </w:tabs>
        <w:ind w:left="567" w:firstLine="0"/>
        <w:jc w:val="both"/>
        <w:rPr>
          <w:rFonts w:ascii="Times New Roman" w:cs="Times New Roman" w:eastAsia="Times New Roman" w:hAnsi="Times New Roman"/>
          <w:sz w:val="20"/>
          <w:szCs w:val="20"/>
        </w:rPr>
      </w:pPr>
      <w:r w:rsidDel="00000000" w:rsidR="00000000" w:rsidRPr="00000000">
        <w:rPr>
          <w:sz w:val="20"/>
          <w:szCs w:val="20"/>
          <w:rtl w:val="0"/>
        </w:rPr>
        <w:t xml:space="preserve">IX.</w:t>
      </w:r>
      <w:r w:rsidDel="00000000" w:rsidR="00000000" w:rsidRPr="00000000">
        <w:rPr>
          <w:rFonts w:ascii="Times New Roman" w:cs="Times New Roman" w:eastAsia="Times New Roman" w:hAnsi="Times New Roman"/>
          <w:sz w:val="20"/>
          <w:szCs w:val="20"/>
          <w:rtl w:val="0"/>
        </w:rPr>
        <w:t xml:space="preserve"> ВИМОГИ ДО ПОДАННЯ ТЕНДЕРНИХ ПРОПОЗИЦІЙ:</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b w:val="1"/>
          <w:color w:val="cc0000"/>
          <w:sz w:val="20"/>
          <w:szCs w:val="20"/>
        </w:rPr>
      </w:pPr>
      <w:r w:rsidDel="00000000" w:rsidR="00000000" w:rsidRPr="00000000">
        <w:rPr>
          <w:rFonts w:ascii="Times New Roman" w:cs="Times New Roman" w:eastAsia="Times New Roman" w:hAnsi="Times New Roman"/>
          <w:b w:val="1"/>
          <w:color w:val="0000cc"/>
          <w:sz w:val="20"/>
          <w:szCs w:val="20"/>
          <w:rtl w:val="0"/>
        </w:rPr>
        <w:t xml:space="preserve">Для участі в тендері аудиторська компанія подає тендерну пропозицію у вигляді </w:t>
      </w:r>
      <w:r w:rsidDel="00000000" w:rsidR="00000000" w:rsidRPr="00000000">
        <w:rPr>
          <w:rFonts w:ascii="Times New Roman" w:cs="Times New Roman" w:eastAsia="Times New Roman" w:hAnsi="Times New Roman"/>
          <w:b w:val="1"/>
          <w:color w:val="0000cc"/>
          <w:sz w:val="20"/>
          <w:szCs w:val="20"/>
          <w:u w:val="single"/>
          <w:rtl w:val="0"/>
        </w:rPr>
        <w:t xml:space="preserve">двох електронних листів</w:t>
      </w:r>
      <w:r w:rsidDel="00000000" w:rsidR="00000000" w:rsidRPr="00000000">
        <w:rPr>
          <w:rFonts w:ascii="Times New Roman" w:cs="Times New Roman" w:eastAsia="Times New Roman" w:hAnsi="Times New Roman"/>
          <w:b w:val="1"/>
          <w:color w:val="0000cc"/>
          <w:sz w:val="20"/>
          <w:szCs w:val="20"/>
          <w:rtl w:val="0"/>
        </w:rPr>
        <w:t xml:space="preserve"> електронною поштою на адресу </w:t>
      </w:r>
      <w:hyperlink r:id="rId12">
        <w:r w:rsidDel="00000000" w:rsidR="00000000" w:rsidRPr="00000000">
          <w:rPr>
            <w:rFonts w:ascii="Times New Roman" w:cs="Times New Roman" w:eastAsia="Times New Roman" w:hAnsi="Times New Roman"/>
            <w:b w:val="1"/>
            <w:color w:val="cc0000"/>
            <w:sz w:val="20"/>
            <w:szCs w:val="20"/>
            <w:rtl w:val="0"/>
          </w:rPr>
          <w:t xml:space="preserve">tender@r2p.org.ua</w:t>
        </w:r>
      </w:hyperlink>
      <w:r w:rsidDel="00000000" w:rsidR="00000000" w:rsidRPr="00000000">
        <w:rPr>
          <w:rFonts w:ascii="Times New Roman" w:cs="Times New Roman" w:eastAsia="Times New Roman" w:hAnsi="Times New Roman"/>
          <w:b w:val="1"/>
          <w:color w:val="cc0000"/>
          <w:sz w:val="20"/>
          <w:szCs w:val="20"/>
          <w:rtl w:val="0"/>
        </w:rPr>
        <w:t xml:space="preserve">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1 лист</w:t>
      </w:r>
      <w:r w:rsidDel="00000000" w:rsidR="00000000" w:rsidRPr="00000000">
        <w:rPr>
          <w:rFonts w:ascii="Times New Roman" w:cs="Times New Roman" w:eastAsia="Times New Roman" w:hAnsi="Times New Roman"/>
          <w:sz w:val="20"/>
          <w:szCs w:val="20"/>
          <w:rtl w:val="0"/>
        </w:rPr>
        <w:t xml:space="preserve"> з назвою </w:t>
      </w:r>
      <w:r w:rsidDel="00000000" w:rsidR="00000000" w:rsidRPr="00000000">
        <w:rPr>
          <w:rFonts w:ascii="Times New Roman" w:cs="Times New Roman" w:eastAsia="Times New Roman" w:hAnsi="Times New Roman"/>
          <w:b w:val="1"/>
          <w:sz w:val="20"/>
          <w:szCs w:val="20"/>
          <w:rtl w:val="0"/>
        </w:rPr>
        <w:t xml:space="preserve">«Технічна пропозиція до тендеру № </w:t>
      </w:r>
      <w:r w:rsidDel="00000000" w:rsidR="00000000" w:rsidRPr="00000000">
        <w:rPr>
          <w:rFonts w:ascii="Times New Roman" w:cs="Times New Roman" w:eastAsia="Times New Roman" w:hAnsi="Times New Roman"/>
          <w:b w:val="1"/>
          <w:smallCaps w:val="1"/>
          <w:sz w:val="20"/>
          <w:szCs w:val="20"/>
          <w:rtl w:val="0"/>
        </w:rPr>
        <w:t xml:space="preserve">Q1-T163-RFP NP</w:t>
      </w:r>
      <w:r w:rsidDel="00000000" w:rsidR="00000000" w:rsidRPr="00000000">
        <w:rPr>
          <w:rFonts w:ascii="Times New Roman" w:cs="Times New Roman" w:eastAsia="Times New Roman" w:hAnsi="Times New Roman"/>
          <w:sz w:val="20"/>
          <w:szCs w:val="20"/>
          <w:rtl w:val="0"/>
        </w:rPr>
        <w:t xml:space="preserve"> має містити заповнені і відскановані </w:t>
      </w:r>
      <w:r w:rsidDel="00000000" w:rsidR="00000000" w:rsidRPr="00000000">
        <w:rPr>
          <w:rFonts w:ascii="Times New Roman" w:cs="Times New Roman" w:eastAsia="Times New Roman" w:hAnsi="Times New Roman"/>
          <w:sz w:val="20"/>
          <w:szCs w:val="20"/>
          <w:u w:val="single"/>
          <w:rtl w:val="0"/>
        </w:rPr>
        <w:t xml:space="preserve">додатки А і С з підписами і печатками</w:t>
      </w:r>
      <w:r w:rsidDel="00000000" w:rsidR="00000000" w:rsidRPr="00000000">
        <w:rPr>
          <w:rFonts w:ascii="Times New Roman" w:cs="Times New Roman" w:eastAsia="Times New Roman" w:hAnsi="Times New Roman"/>
          <w:sz w:val="20"/>
          <w:szCs w:val="20"/>
          <w:rtl w:val="0"/>
        </w:rPr>
        <w:t xml:space="preserve"> та вказані в Запрошеннях і Додатках </w:t>
      </w:r>
      <w:r w:rsidDel="00000000" w:rsidR="00000000" w:rsidRPr="00000000">
        <w:rPr>
          <w:rFonts w:ascii="Times New Roman" w:cs="Times New Roman" w:eastAsia="Times New Roman" w:hAnsi="Times New Roman"/>
          <w:sz w:val="20"/>
          <w:szCs w:val="20"/>
          <w:u w:val="single"/>
          <w:rtl w:val="0"/>
        </w:rPr>
        <w:t xml:space="preserve">документи.</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tabs>
          <w:tab w:val="left" w:leader="none" w:pos="567"/>
          <w:tab w:val="left" w:leader="none" w:pos="1560"/>
          <w:tab w:val="left" w:leader="none" w:pos="2273"/>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20"/>
          <w:szCs w:val="20"/>
          <w:u w:val="single"/>
          <w:rtl w:val="0"/>
        </w:rPr>
        <w:t xml:space="preserve">2 лист</w:t>
      </w:r>
      <w:r w:rsidDel="00000000" w:rsidR="00000000" w:rsidRPr="00000000">
        <w:rPr>
          <w:rFonts w:ascii="Times New Roman" w:cs="Times New Roman" w:eastAsia="Times New Roman" w:hAnsi="Times New Roman"/>
          <w:sz w:val="20"/>
          <w:szCs w:val="20"/>
          <w:rtl w:val="0"/>
        </w:rPr>
        <w:t xml:space="preserve"> з назвою </w:t>
      </w:r>
      <w:r w:rsidDel="00000000" w:rsidR="00000000" w:rsidRPr="00000000">
        <w:rPr>
          <w:rFonts w:ascii="Times New Roman" w:cs="Times New Roman" w:eastAsia="Times New Roman" w:hAnsi="Times New Roman"/>
          <w:b w:val="1"/>
          <w:sz w:val="20"/>
          <w:szCs w:val="20"/>
          <w:rtl w:val="0"/>
        </w:rPr>
        <w:t xml:space="preserve">«Фінансова пропозиція до тендеру №</w:t>
      </w:r>
      <w:r w:rsidDel="00000000" w:rsidR="00000000" w:rsidRPr="00000000">
        <w:rPr>
          <w:rFonts w:ascii="Times New Roman" w:cs="Times New Roman" w:eastAsia="Times New Roman" w:hAnsi="Times New Roman"/>
          <w:b w:val="1"/>
          <w:smallCaps w:val="1"/>
          <w:sz w:val="20"/>
          <w:szCs w:val="20"/>
          <w:rtl w:val="0"/>
        </w:rPr>
        <w:t xml:space="preserve">Q1-T163-RFP NP</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має містити заповнений і відсканований </w:t>
      </w:r>
      <w:r w:rsidDel="00000000" w:rsidR="00000000" w:rsidRPr="00000000">
        <w:rPr>
          <w:rFonts w:ascii="Times New Roman" w:cs="Times New Roman" w:eastAsia="Times New Roman" w:hAnsi="Times New Roman"/>
          <w:sz w:val="20"/>
          <w:szCs w:val="20"/>
          <w:u w:val="single"/>
          <w:rtl w:val="0"/>
        </w:rPr>
        <w:t xml:space="preserve">додаток В з підписом і печаткою</w:t>
      </w:r>
      <w:r w:rsidDel="00000000" w:rsidR="00000000" w:rsidRPr="00000000">
        <w:rPr>
          <w:rFonts w:ascii="Times New Roman" w:cs="Times New Roman" w:eastAsia="Times New Roman" w:hAnsi="Times New Roman"/>
          <w:sz w:val="20"/>
          <w:szCs w:val="20"/>
          <w:rtl w:val="0"/>
        </w:rPr>
        <w:t xml:space="preserve">, а також вашу </w:t>
      </w:r>
      <w:r w:rsidDel="00000000" w:rsidR="00000000" w:rsidRPr="00000000">
        <w:rPr>
          <w:rFonts w:ascii="Times New Roman" w:cs="Times New Roman" w:eastAsia="Times New Roman" w:hAnsi="Times New Roman"/>
          <w:sz w:val="20"/>
          <w:szCs w:val="20"/>
          <w:u w:val="single"/>
          <w:rtl w:val="0"/>
        </w:rPr>
        <w:t xml:space="preserve">комерційну пропозицію в гривнях</w:t>
      </w:r>
      <w:r w:rsidDel="00000000" w:rsidR="00000000" w:rsidRPr="00000000">
        <w:rPr>
          <w:rFonts w:ascii="Times New Roman" w:cs="Times New Roman" w:eastAsia="Times New Roman" w:hAnsi="Times New Roman"/>
          <w:sz w:val="20"/>
          <w:szCs w:val="20"/>
          <w:rtl w:val="0"/>
        </w:rPr>
        <w:t xml:space="preserve"> (вартість послуг погодинно і </w:t>
      </w:r>
      <w:r w:rsidDel="00000000" w:rsidR="00000000" w:rsidRPr="00000000">
        <w:rPr>
          <w:rFonts w:ascii="Times New Roman" w:cs="Times New Roman" w:eastAsia="Times New Roman" w:hAnsi="Times New Roman"/>
          <w:sz w:val="20"/>
          <w:szCs w:val="20"/>
          <w:u w:val="single"/>
          <w:rtl w:val="0"/>
        </w:rPr>
        <w:t xml:space="preserve">загальну повну вартість</w:t>
      </w:r>
      <w:r w:rsidDel="00000000" w:rsidR="00000000" w:rsidRPr="00000000">
        <w:rPr>
          <w:rFonts w:ascii="Times New Roman" w:cs="Times New Roman" w:eastAsia="Times New Roman" w:hAnsi="Times New Roman"/>
          <w:sz w:val="20"/>
          <w:szCs w:val="20"/>
          <w:rtl w:val="0"/>
        </w:rPr>
        <w:t xml:space="preserve">) з контактами відповідальної особи, яка уповноважена відповідати на запитання щодо тендерної пропозиції.</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color w:val="000000"/>
          <w:sz w:val="8"/>
          <w:szCs w:val="8"/>
          <w:u w:val="single"/>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b w:val="1"/>
          <w:color w:val="000000"/>
          <w:sz w:val="20"/>
          <w:szCs w:val="20"/>
          <w:u w:val="single"/>
        </w:rPr>
      </w:pPr>
      <w:r w:rsidDel="00000000" w:rsidR="00000000" w:rsidRPr="00000000">
        <w:rPr>
          <w:rFonts w:ascii="Times New Roman" w:cs="Times New Roman" w:eastAsia="Times New Roman" w:hAnsi="Times New Roman"/>
          <w:b w:val="1"/>
          <w:color w:val="000000"/>
          <w:sz w:val="20"/>
          <w:szCs w:val="20"/>
          <w:u w:val="single"/>
          <w:rtl w:val="0"/>
        </w:rPr>
        <w:t xml:space="preserve">Технічна пропозиція повинна містити такі документи:</w:t>
      </w:r>
    </w:p>
    <w:p w:rsidR="00000000" w:rsidDel="00000000" w:rsidP="00000000" w:rsidRDefault="00000000" w:rsidRPr="00000000" w14:paraId="0000005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6.9291338582675"/>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Заповнений і відсканований додаток А з підписом і печаткою;</w:t>
      </w:r>
    </w:p>
    <w:p w:rsidR="00000000" w:rsidDel="00000000" w:rsidP="00000000" w:rsidRDefault="00000000" w:rsidRPr="00000000" w14:paraId="0000005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6.9291338582675"/>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Заповнений і відсканований додаток С з підписом і печаткою;</w:t>
      </w:r>
    </w:p>
    <w:p w:rsidR="00000000" w:rsidDel="00000000" w:rsidP="00000000" w:rsidRDefault="00000000" w:rsidRPr="00000000" w14:paraId="0000005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1"/>
          <w:tab w:val="left" w:leader="none" w:pos="1134"/>
          <w:tab w:val="left" w:leader="none" w:pos="1560"/>
        </w:tabs>
        <w:spacing w:after="0" w:before="0" w:line="240" w:lineRule="auto"/>
        <w:ind w:left="0" w:right="0" w:firstLine="566.92913385826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Скановану копію підписаного листа зацікавленості із зазначенням назви аудиторської компанії, адреси, контактної інформації (телефон, електронна пошта, адреса веб-сайту), повна назва контактної особи. Лист повинен містити гарантію незалежності, розуміння обсягу робіт, що підлягають виконанню, цілей аудиту, методології аудиту, загальної спроможності виконувати аудиторські завдання, включаючи наявність аудиторських кадрів та керівників з належними знаннями та кваліфікацією, план аудиту з комерційною пропозицією у гривнях (вказується загальна вартість послуг та тариф за годину), перелік звітів, які мають бути надані в результаті аудиту;</w:t>
      </w:r>
    </w:p>
    <w:p w:rsidR="00000000" w:rsidDel="00000000" w:rsidP="00000000" w:rsidRDefault="00000000" w:rsidRPr="00000000" w14:paraId="0000005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560"/>
          <w:tab w:val="left" w:leader="none" w:pos="2273"/>
        </w:tabs>
        <w:spacing w:after="0" w:before="0" w:line="240" w:lineRule="auto"/>
        <w:ind w:left="0" w:right="0" w:firstLine="566.92913385826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Скановану копію витягу з Державного реєстру юридичних осіб;</w:t>
      </w:r>
    </w:p>
    <w:p w:rsidR="00000000" w:rsidDel="00000000" w:rsidP="00000000" w:rsidRDefault="00000000" w:rsidRPr="00000000" w14:paraId="0000005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6.92913385826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Довідка або Витяг з Реєстру аудиторів та суб’єктів аудиторської діяльності, видана Органом суспільного нагляду за аудиторською діяльністю (ОСНАД)</w:t>
      </w:r>
    </w:p>
    <w:p w:rsidR="00000000" w:rsidDel="00000000" w:rsidP="00000000" w:rsidRDefault="00000000" w:rsidRPr="00000000" w14:paraId="0000005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6.92913385826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НАКАЗ, виданий ОСНАД Про проходження перевірки з контролю якості аудиторських послуг (датований</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не раніше лютого 2022</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р.);;</w:t>
      </w:r>
    </w:p>
    <w:p w:rsidR="00000000" w:rsidDel="00000000" w:rsidP="00000000" w:rsidRDefault="00000000" w:rsidRPr="00000000" w14:paraId="0000005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1"/>
          <w:tab w:val="left" w:leader="none" w:pos="1134"/>
          <w:tab w:val="left" w:leader="none" w:pos="1560"/>
          <w:tab w:val="left" w:leader="none" w:pos="2273"/>
        </w:tabs>
        <w:spacing w:after="0" w:before="0" w:line="240" w:lineRule="auto"/>
        <w:ind w:left="0" w:right="0" w:firstLine="566.9291338582675"/>
        <w:jc w:val="both"/>
        <w:rPr>
          <w:rFonts w:ascii="Times New Roman" w:cs="Times New Roman" w:eastAsia="Times New Roman" w:hAnsi="Times New Roman"/>
          <w:b w:val="0"/>
          <w:i w:val="0"/>
          <w:smallCaps w:val="0"/>
          <w:strike w:val="0"/>
          <w:color w:val="000000"/>
          <w:sz w:val="20"/>
          <w:szCs w:val="20"/>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Інформацію та скановані документи, що підтверджують досвід роботи аудиторської компанії в проведенні аудиту неприбуткових організацій. Надаються рекомендації від 3 клієнтів, видані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не раніше 2022</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року;</w:t>
      </w:r>
    </w:p>
    <w:p w:rsidR="00000000" w:rsidDel="00000000" w:rsidP="00000000" w:rsidRDefault="00000000" w:rsidRPr="00000000" w14:paraId="0000005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560"/>
          <w:tab w:val="left" w:leader="none" w:pos="2273"/>
        </w:tabs>
        <w:spacing w:after="0" w:before="0" w:line="240" w:lineRule="auto"/>
        <w:ind w:left="0" w:right="0" w:firstLine="566.92913385826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Дані про загальну кількість кваліфікованих працівників, старших фахівців та керівників для виконання поставлених завдань, копії сертифікатів аудитора, а також резюме команди з виконання завдань. Скановані копії сертифікатів професійної освіти (якщо такі є);</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836.3385826771653"/>
          <w:tab w:val="left" w:leader="none" w:pos="1541.3385826771653"/>
        </w:tabs>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9. Опис та кількість років </w:t>
      </w:r>
      <w:r w:rsidDel="00000000" w:rsidR="00000000" w:rsidRPr="00000000">
        <w:rPr>
          <w:rFonts w:ascii="Times New Roman" w:cs="Times New Roman" w:eastAsia="Times New Roman" w:hAnsi="Times New Roman"/>
          <w:sz w:val="20"/>
          <w:szCs w:val="20"/>
          <w:rtl w:val="0"/>
        </w:rPr>
        <w:t xml:space="preserve">досвіду організації в проведенні аудитів</w:t>
      </w:r>
      <w:r w:rsidDel="00000000" w:rsidR="00000000" w:rsidRPr="00000000">
        <w:rPr>
          <w:rFonts w:ascii="Times New Roman" w:cs="Times New Roman" w:eastAsia="Times New Roman" w:hAnsi="Times New Roman"/>
          <w:sz w:val="20"/>
          <w:szCs w:val="20"/>
          <w:rtl w:val="0"/>
        </w:rPr>
        <w:t xml:space="preserve">, зокрема для неприбуткових організацій.</w:t>
      </w: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tabs>
          <w:tab w:val="left" w:leader="none" w:pos="567"/>
          <w:tab w:val="left" w:leader="none" w:pos="1560"/>
          <w:tab w:val="left" w:leader="none" w:pos="2273"/>
        </w:tabs>
        <w:spacing w:after="0" w:line="240" w:lineRule="auto"/>
        <w:ind w:left="142" w:firstLine="428"/>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b w:val="1"/>
          <w:color w:val="000000"/>
          <w:sz w:val="20"/>
          <w:szCs w:val="20"/>
          <w:u w:val="single"/>
        </w:rPr>
      </w:pPr>
      <w:r w:rsidDel="00000000" w:rsidR="00000000" w:rsidRPr="00000000">
        <w:rPr>
          <w:rFonts w:ascii="Times New Roman" w:cs="Times New Roman" w:eastAsia="Times New Roman" w:hAnsi="Times New Roman"/>
          <w:b w:val="1"/>
          <w:color w:val="000000"/>
          <w:sz w:val="20"/>
          <w:szCs w:val="20"/>
          <w:u w:val="single"/>
          <w:rtl w:val="0"/>
        </w:rPr>
        <w:t xml:space="preserve">Фінансова пропозиція повинна містити такі документи:</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tabs>
          <w:tab w:val="left" w:leader="none" w:pos="993"/>
        </w:tabs>
        <w:spacing w:after="0" w:line="240" w:lineRule="auto"/>
        <w:ind w:firstLine="567"/>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 Заповнений і відсканований додаток В з підписом і печаткою;</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tabs>
          <w:tab w:val="left" w:leader="none" w:pos="567"/>
          <w:tab w:val="left" w:leader="none" w:pos="1560"/>
          <w:tab w:val="left" w:leader="none" w:pos="2273"/>
        </w:tabs>
        <w:spacing w:after="0" w:line="240" w:lineRule="auto"/>
        <w:ind w:left="142"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ab/>
        <w:t xml:space="preserve">2. Комерційну пропозицію в гривнях (вартість послуг погодинно і загальну повну вартість) з контактами відповідальної особи, яка уповноважена відповідати на запитання щодо тендерної пропозиції.</w:t>
      </w:r>
    </w:p>
    <w:p w:rsidR="00000000" w:rsidDel="00000000" w:rsidP="00000000" w:rsidRDefault="00000000" w:rsidRPr="00000000" w14:paraId="00000061">
      <w:pPr>
        <w:tabs>
          <w:tab w:val="left" w:leader="none" w:pos="993"/>
        </w:tabs>
        <w:spacing w:after="0"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2">
      <w:pPr>
        <w:pStyle w:val="Heading1"/>
        <w:tabs>
          <w:tab w:val="left" w:leader="none" w:pos="993"/>
          <w:tab w:val="left" w:leader="none" w:pos="1020"/>
        </w:tabs>
        <w:ind w:left="567"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Х. КЛЮЧОВІ КРИТЕРІЇ ОЦІНКИ:</w:t>
      </w:r>
    </w:p>
    <w:p w:rsidR="00000000" w:rsidDel="00000000" w:rsidP="00000000" w:rsidRDefault="00000000" w:rsidRPr="00000000" w14:paraId="00000063">
      <w:pPr>
        <w:pStyle w:val="Heading3"/>
        <w:tabs>
          <w:tab w:val="left" w:leader="none" w:pos="993"/>
        </w:tabs>
        <w:ind w:left="0" w:firstLine="567"/>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Тендерні пропозиції, які не відповідають вимогам до тендерних пропозицій (IX. Вимоги до подання тендерних пропозицій), не підлягають подальшій оцінці. </w:t>
      </w:r>
    </w:p>
    <w:p w:rsidR="00000000" w:rsidDel="00000000" w:rsidP="00000000" w:rsidRDefault="00000000" w:rsidRPr="00000000" w14:paraId="00000064">
      <w:pPr>
        <w:tabs>
          <w:tab w:val="left" w:leader="none" w:pos="993"/>
        </w:tabs>
        <w:spacing w:after="0" w:line="240" w:lineRule="auto"/>
        <w:ind w:firstLine="567"/>
        <w:jc w:val="both"/>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tabs>
          <w:tab w:val="left" w:leader="none" w:pos="993"/>
        </w:tabs>
        <w:spacing w:after="0" w:line="240" w:lineRule="auto"/>
        <w:ind w:left="284" w:firstLine="0"/>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color w:val="000000"/>
          <w:sz w:val="20"/>
          <w:szCs w:val="20"/>
          <w:u w:val="single"/>
          <w:rtl w:val="0"/>
        </w:rPr>
        <w:t xml:space="preserve">Пропозиції, які відповідають вимогам тендерних пропозицій, будуть оцінені за такими критеріями:</w:t>
      </w:r>
      <w:r w:rsidDel="00000000" w:rsidR="00000000" w:rsidRPr="00000000">
        <w:rPr>
          <w:rtl w:val="0"/>
        </w:rPr>
      </w:r>
    </w:p>
    <w:p w:rsidR="00000000" w:rsidDel="00000000" w:rsidP="00000000" w:rsidRDefault="00000000" w:rsidRPr="00000000" w14:paraId="00000066">
      <w:pPr>
        <w:widowControl w:val="0"/>
        <w:tabs>
          <w:tab w:val="left" w:leader="none" w:pos="993"/>
        </w:tabs>
        <w:spacing w:after="0" w:line="240" w:lineRule="auto"/>
        <w:ind w:firstLine="567"/>
        <w:jc w:val="both"/>
        <w:rPr>
          <w:rFonts w:ascii="Times New Roman" w:cs="Times New Roman" w:eastAsia="Times New Roman" w:hAnsi="Times New Roman"/>
          <w:b w:val="1"/>
          <w:sz w:val="20"/>
          <w:szCs w:val="20"/>
          <w:u w:val="single"/>
        </w:rPr>
      </w:pPr>
      <w:r w:rsidDel="00000000" w:rsidR="00000000" w:rsidRPr="00000000">
        <w:rPr>
          <w:rtl w:val="0"/>
        </w:rPr>
      </w:r>
    </w:p>
    <w:tbl>
      <w:tblPr>
        <w:tblStyle w:val="Table2"/>
        <w:tblpPr w:leftFromText="180" w:rightFromText="180" w:topFromText="180" w:bottomFromText="180" w:vertAnchor="text" w:horzAnchor="text" w:tblpX="420" w:tblpY="0"/>
        <w:tblW w:w="10065.0" w:type="dxa"/>
        <w:jc w:val="left"/>
        <w:tblLayout w:type="fixed"/>
        <w:tblLook w:val="0000"/>
      </w:tblPr>
      <w:tblGrid>
        <w:gridCol w:w="390"/>
        <w:gridCol w:w="8175"/>
        <w:gridCol w:w="1500"/>
        <w:tblGridChange w:id="0">
          <w:tblGrid>
            <w:gridCol w:w="390"/>
            <w:gridCol w:w="8175"/>
            <w:gridCol w:w="1500"/>
          </w:tblGrid>
        </w:tblGridChange>
      </w:tblGrid>
      <w:tr>
        <w:trPr>
          <w:cantSplit w:val="0"/>
          <w:trHeight w:val="247"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7">
            <w:pPr>
              <w:ind w:left="-156" w:firstLine="1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8">
            <w:pPr>
              <w:ind w:left="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Критерії оцінки</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9">
            <w:pPr>
              <w:ind w:left="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Максимальний бал</w:t>
            </w:r>
          </w:p>
        </w:tc>
      </w:tr>
      <w:tr>
        <w:trPr>
          <w:cantSplit w:val="0"/>
          <w:trHeight w:val="285"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A">
            <w:pPr>
              <w:ind w:left="-156" w:firstLine="127"/>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Вартість послуги</w:t>
            </w:r>
            <w:r w:rsidDel="00000000" w:rsidR="00000000" w:rsidRPr="00000000">
              <w:rPr>
                <w:rFonts w:ascii="Times New Roman" w:cs="Times New Roman" w:eastAsia="Times New Roman" w:hAnsi="Times New Roman"/>
                <w:color w:val="222222"/>
                <w:sz w:val="18"/>
                <w:szCs w:val="18"/>
                <w:highlight w:val="white"/>
                <w:rtl w:val="0"/>
              </w:rPr>
              <w:t xml:space="preserve">.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C">
            <w:pPr>
              <w:ind w:firstLine="284"/>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w:t>
            </w:r>
          </w:p>
        </w:tc>
      </w:tr>
      <w:tr>
        <w:trPr>
          <w:cantSplit w:val="0"/>
          <w:trHeight w:val="247" w:hRule="atLeast"/>
          <w:tblHeader w:val="0"/>
        </w:trPr>
        <w:tc>
          <w:tcPr>
            <w:vMerge w:val="restart"/>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D">
            <w:pPr>
              <w:ind w:left="-156" w:firstLine="127"/>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Досвід аудиту:</w:t>
            </w:r>
          </w:p>
        </w:tc>
        <w:tc>
          <w:tcPr>
            <w:vMerge w:val="restart"/>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F">
            <w:pPr>
              <w:ind w:firstLine="284"/>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0">
            <w:pPr>
              <w:ind w:firstLine="284"/>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1">
            <w:pPr>
              <w:ind w:firstLine="284"/>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2">
            <w:pPr>
              <w:ind w:lef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3">
            <w:pPr>
              <w:ind w:firstLine="284"/>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35</w:t>
            </w:r>
          </w:p>
        </w:tc>
      </w:tr>
      <w:tr>
        <w:trPr>
          <w:cantSplit w:val="0"/>
          <w:trHeight w:val="250" w:hRule="atLeast"/>
          <w:tblHeader w:val="0"/>
        </w:trPr>
        <w:tc>
          <w:tcPr>
            <w:vMerge w:val="continue"/>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4">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Загальний досвід проведення аудитів:</w:t>
            </w:r>
          </w:p>
          <w:p w:rsidR="00000000" w:rsidDel="00000000" w:rsidP="00000000" w:rsidRDefault="00000000" w:rsidRPr="00000000" w14:paraId="00000076">
            <w:pPr>
              <w:rPr>
                <w:rFonts w:ascii="Times New Roman" w:cs="Times New Roman" w:eastAsia="Times New Roman" w:hAnsi="Times New Roman"/>
                <w:color w:val="222222"/>
                <w:sz w:val="18"/>
                <w:szCs w:val="18"/>
                <w:highlight w:val="white"/>
              </w:rPr>
            </w:pPr>
            <w:r w:rsidDel="00000000" w:rsidR="00000000" w:rsidRPr="00000000">
              <w:rPr>
                <w:rFonts w:ascii="Times New Roman" w:cs="Times New Roman" w:eastAsia="Times New Roman" w:hAnsi="Times New Roman"/>
                <w:color w:val="222222"/>
                <w:sz w:val="18"/>
                <w:szCs w:val="18"/>
                <w:highlight w:val="white"/>
                <w:rtl w:val="0"/>
              </w:rPr>
              <w:t xml:space="preserve">До 10 років = 10 балів,</w:t>
            </w:r>
          </w:p>
          <w:p w:rsidR="00000000" w:rsidDel="00000000" w:rsidP="00000000" w:rsidRDefault="00000000" w:rsidRPr="00000000" w14:paraId="00000077">
            <w:pPr>
              <w:rPr>
                <w:rFonts w:ascii="Times New Roman" w:cs="Times New Roman" w:eastAsia="Times New Roman" w:hAnsi="Times New Roman"/>
                <w:color w:val="222222"/>
                <w:sz w:val="18"/>
                <w:szCs w:val="18"/>
                <w:highlight w:val="white"/>
              </w:rPr>
            </w:pPr>
            <w:r w:rsidDel="00000000" w:rsidR="00000000" w:rsidRPr="00000000">
              <w:rPr>
                <w:rFonts w:ascii="Times New Roman" w:cs="Times New Roman" w:eastAsia="Times New Roman" w:hAnsi="Times New Roman"/>
                <w:color w:val="222222"/>
                <w:sz w:val="18"/>
                <w:szCs w:val="18"/>
                <w:highlight w:val="white"/>
                <w:rtl w:val="0"/>
              </w:rPr>
              <w:t xml:space="preserve">Від 10 до 15 років = 15 балів,</w:t>
            </w:r>
          </w:p>
          <w:p w:rsidR="00000000" w:rsidDel="00000000" w:rsidP="00000000" w:rsidRDefault="00000000" w:rsidRPr="00000000" w14:paraId="00000078">
            <w:pPr>
              <w:rPr>
                <w:rFonts w:ascii="Times New Roman" w:cs="Times New Roman" w:eastAsia="Times New Roman" w:hAnsi="Times New Roman"/>
                <w:color w:val="222222"/>
                <w:sz w:val="18"/>
                <w:szCs w:val="18"/>
                <w:highlight w:val="white"/>
              </w:rPr>
            </w:pPr>
            <w:r w:rsidDel="00000000" w:rsidR="00000000" w:rsidRPr="00000000">
              <w:rPr>
                <w:rFonts w:ascii="Times New Roman" w:cs="Times New Roman" w:eastAsia="Times New Roman" w:hAnsi="Times New Roman"/>
                <w:color w:val="222222"/>
                <w:sz w:val="18"/>
                <w:szCs w:val="18"/>
                <w:highlight w:val="white"/>
                <w:rtl w:val="0"/>
              </w:rPr>
              <w:t xml:space="preserve">Більше 15 років = 20 балів.</w:t>
            </w:r>
          </w:p>
        </w:tc>
        <w:tc>
          <w:tcPr>
            <w:vMerge w:val="continue"/>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9">
            <w:pPr>
              <w:rPr>
                <w:rFonts w:ascii="Times New Roman" w:cs="Times New Roman" w:eastAsia="Times New Roman" w:hAnsi="Times New Roman"/>
                <w:sz w:val="20"/>
                <w:szCs w:val="20"/>
              </w:rPr>
            </w:pPr>
            <w:r w:rsidDel="00000000" w:rsidR="00000000" w:rsidRPr="00000000">
              <w:rPr>
                <w:rtl w:val="0"/>
              </w:rPr>
            </w:r>
          </w:p>
        </w:tc>
      </w:tr>
      <w:tr>
        <w:trPr>
          <w:cantSplit w:val="0"/>
          <w:trHeight w:val="250" w:hRule="atLeast"/>
          <w:tblHeader w:val="0"/>
        </w:trPr>
        <w:tc>
          <w:tcPr>
            <w:vMerge w:val="continue"/>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A">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B">
            <w:pPr>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Досвід проведення аудиту неприбуткових організацій:</w:t>
              <w:br w:type="textWrapping"/>
              <w:t xml:space="preserve">До 5 років = 7 балів,</w:t>
            </w:r>
          </w:p>
          <w:p w:rsidR="00000000" w:rsidDel="00000000" w:rsidP="00000000" w:rsidRDefault="00000000" w:rsidRPr="00000000" w14:paraId="000000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Від 5 до 7 років = 10 балів,</w:t>
            </w:r>
          </w:p>
          <w:p w:rsidR="00000000" w:rsidDel="00000000" w:rsidP="00000000" w:rsidRDefault="00000000" w:rsidRPr="00000000" w14:paraId="000000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Більше 7 років = 15 балів.</w:t>
            </w:r>
          </w:p>
        </w:tc>
        <w:tc>
          <w:tcPr>
            <w:vMerge w:val="continue"/>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E">
            <w:pPr>
              <w:rPr>
                <w:rFonts w:ascii="Times New Roman" w:cs="Times New Roman" w:eastAsia="Times New Roman" w:hAnsi="Times New Roman"/>
                <w:sz w:val="20"/>
                <w:szCs w:val="20"/>
              </w:rPr>
            </w:pPr>
            <w:r w:rsidDel="00000000" w:rsidR="00000000" w:rsidRPr="00000000">
              <w:rPr>
                <w:rtl w:val="0"/>
              </w:rPr>
            </w:r>
          </w:p>
        </w:tc>
      </w:tr>
      <w:tr>
        <w:trPr>
          <w:cantSplit w:val="0"/>
          <w:trHeight w:val="247"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F">
            <w:pPr>
              <w:ind w:left="-156" w:firstLine="127"/>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0">
            <w:pPr>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Склад та компетентність запропонованої команди:</w:t>
            </w:r>
          </w:p>
          <w:p w:rsidR="00000000" w:rsidDel="00000000" w:rsidP="00000000" w:rsidRDefault="00000000" w:rsidRPr="00000000" w14:paraId="00000081">
            <w:pPr>
              <w:rPr>
                <w:rFonts w:ascii="Times New Roman" w:cs="Times New Roman" w:eastAsia="Times New Roman" w:hAnsi="Times New Roman"/>
                <w:color w:val="222222"/>
                <w:sz w:val="18"/>
                <w:szCs w:val="18"/>
              </w:rPr>
            </w:pPr>
            <w:r w:rsidDel="00000000" w:rsidR="00000000" w:rsidRPr="00000000">
              <w:rPr>
                <w:rFonts w:ascii="Times New Roman" w:cs="Times New Roman" w:eastAsia="Times New Roman" w:hAnsi="Times New Roman"/>
                <w:color w:val="222222"/>
                <w:sz w:val="18"/>
                <w:szCs w:val="18"/>
                <w:rtl w:val="0"/>
              </w:rPr>
              <w:t xml:space="preserve">Менше 5 сертифікованих аудиторів = 15 балів</w:t>
            </w:r>
          </w:p>
          <w:p w:rsidR="00000000" w:rsidDel="00000000" w:rsidP="00000000" w:rsidRDefault="00000000" w:rsidRPr="00000000" w14:paraId="00000082">
            <w:pPr>
              <w:rPr>
                <w:rFonts w:ascii="Times New Roman" w:cs="Times New Roman" w:eastAsia="Times New Roman" w:hAnsi="Times New Roman"/>
                <w:color w:val="222222"/>
                <w:sz w:val="18"/>
                <w:szCs w:val="18"/>
              </w:rPr>
            </w:pPr>
            <w:r w:rsidDel="00000000" w:rsidR="00000000" w:rsidRPr="00000000">
              <w:rPr>
                <w:rFonts w:ascii="Times New Roman" w:cs="Times New Roman" w:eastAsia="Times New Roman" w:hAnsi="Times New Roman"/>
                <w:color w:val="222222"/>
                <w:sz w:val="18"/>
                <w:szCs w:val="18"/>
                <w:rtl w:val="0"/>
              </w:rPr>
              <w:t xml:space="preserve">Від 5 до 10 сертифікованих аудиторів = 25 балів</w:t>
            </w:r>
          </w:p>
          <w:p w:rsidR="00000000" w:rsidDel="00000000" w:rsidP="00000000" w:rsidRDefault="00000000" w:rsidRPr="00000000" w14:paraId="00000083">
            <w:pPr>
              <w:rPr>
                <w:rFonts w:ascii="Times New Roman" w:cs="Times New Roman" w:eastAsia="Times New Roman" w:hAnsi="Times New Roman"/>
                <w:color w:val="222222"/>
                <w:sz w:val="18"/>
                <w:szCs w:val="18"/>
              </w:rPr>
            </w:pPr>
            <w:r w:rsidDel="00000000" w:rsidR="00000000" w:rsidRPr="00000000">
              <w:rPr>
                <w:rFonts w:ascii="Times New Roman" w:cs="Times New Roman" w:eastAsia="Times New Roman" w:hAnsi="Times New Roman"/>
                <w:color w:val="222222"/>
                <w:sz w:val="18"/>
                <w:szCs w:val="18"/>
                <w:rtl w:val="0"/>
              </w:rPr>
              <w:t xml:space="preserve">Більше 10 сертифікованих аудиторів = 35 балів</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4">
            <w:pPr>
              <w:ind w:firstLine="284"/>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35</w:t>
            </w:r>
          </w:p>
        </w:tc>
      </w:tr>
      <w:tr>
        <w:trPr>
          <w:cantSplit w:val="0"/>
          <w:trHeight w:val="25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5">
            <w:pPr>
              <w:ind w:left="-156" w:firstLine="284"/>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6">
            <w:pPr>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Загальний рахунок</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7">
            <w:pPr>
              <w:ind w:firstLine="284"/>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bl>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b w:val="1"/>
          <w:color w:val="0000cc"/>
          <w:sz w:val="24"/>
          <w:szCs w:val="24"/>
        </w:rPr>
      </w:pPr>
      <w:bookmarkStart w:colFirst="0" w:colLast="0" w:name="_heading=h.c9hg6l4cxzuu" w:id="2"/>
      <w:bookmarkEnd w:id="2"/>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b w:val="1"/>
          <w:color w:val="0000cc"/>
          <w:sz w:val="24"/>
          <w:szCs w:val="24"/>
        </w:rPr>
      </w:pPr>
      <w:bookmarkStart w:colFirst="0" w:colLast="0" w:name="_heading=h.stumscmtazem" w:id="3"/>
      <w:bookmarkEnd w:id="3"/>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line="240" w:lineRule="auto"/>
        <w:ind w:firstLine="284"/>
        <w:jc w:val="both"/>
        <w:rPr>
          <w:rFonts w:ascii="Times New Roman" w:cs="Times New Roman" w:eastAsia="Times New Roman" w:hAnsi="Times New Roman"/>
          <w:b w:val="1"/>
          <w:color w:val="0000cc"/>
          <w:sz w:val="24"/>
          <w:szCs w:val="24"/>
        </w:rPr>
      </w:pPr>
      <w:bookmarkStart w:colFirst="0" w:colLast="0" w:name="_heading=h.5mn9cnfly1eo" w:id="4"/>
      <w:bookmarkEnd w:id="4"/>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line="240" w:lineRule="auto"/>
        <w:ind w:firstLine="284"/>
        <w:jc w:val="both"/>
        <w:rPr>
          <w:rFonts w:ascii="Times New Roman" w:cs="Times New Roman" w:eastAsia="Times New Roman" w:hAnsi="Times New Roman"/>
          <w:b w:val="1"/>
          <w:color w:val="c00000"/>
          <w:sz w:val="24"/>
          <w:szCs w:val="24"/>
        </w:rPr>
      </w:pPr>
      <w:bookmarkStart w:colFirst="0" w:colLast="0" w:name="_heading=h.1fob9te" w:id="5"/>
      <w:bookmarkEnd w:id="5"/>
      <w:r w:rsidDel="00000000" w:rsidR="00000000" w:rsidRPr="00000000">
        <w:rPr>
          <w:rFonts w:ascii="Times New Roman" w:cs="Times New Roman" w:eastAsia="Times New Roman" w:hAnsi="Times New Roman"/>
          <w:b w:val="1"/>
          <w:color w:val="0000cc"/>
          <w:sz w:val="24"/>
          <w:szCs w:val="24"/>
          <w:rtl w:val="0"/>
        </w:rPr>
        <w:t xml:space="preserve">Просимо направити вашу пропозицію до </w:t>
      </w:r>
      <w:r w:rsidDel="00000000" w:rsidR="00000000" w:rsidRPr="00000000">
        <w:rPr>
          <w:rFonts w:ascii="Times New Roman" w:cs="Times New Roman" w:eastAsia="Times New Roman" w:hAnsi="Times New Roman"/>
          <w:b w:val="1"/>
          <w:color w:val="0000cc"/>
          <w:sz w:val="24"/>
          <w:szCs w:val="24"/>
          <w:u w:val="single"/>
          <w:rtl w:val="0"/>
        </w:rPr>
        <w:t xml:space="preserve">18 лютого 2025 року, 23:59</w:t>
      </w:r>
      <w:r w:rsidDel="00000000" w:rsidR="00000000" w:rsidRPr="00000000">
        <w:rPr>
          <w:rFonts w:ascii="Times New Roman" w:cs="Times New Roman" w:eastAsia="Times New Roman" w:hAnsi="Times New Roman"/>
          <w:b w:val="1"/>
          <w:color w:val="0000cc"/>
          <w:sz w:val="24"/>
          <w:szCs w:val="24"/>
          <w:rtl w:val="0"/>
        </w:rPr>
        <w:t xml:space="preserve"> за Київським часом у вигляді двох листів (</w:t>
      </w:r>
      <w:r w:rsidDel="00000000" w:rsidR="00000000" w:rsidRPr="00000000">
        <w:rPr>
          <w:rFonts w:ascii="Times New Roman" w:cs="Times New Roman" w:eastAsia="Times New Roman" w:hAnsi="Times New Roman"/>
          <w:b w:val="1"/>
          <w:color w:val="0000cc"/>
          <w:sz w:val="20"/>
          <w:szCs w:val="20"/>
          <w:u w:val="single"/>
          <w:rtl w:val="0"/>
        </w:rPr>
        <w:t xml:space="preserve">Технічна пропозиція</w:t>
      </w:r>
      <w:r w:rsidDel="00000000" w:rsidR="00000000" w:rsidRPr="00000000">
        <w:rPr>
          <w:rFonts w:ascii="Times New Roman" w:cs="Times New Roman" w:eastAsia="Times New Roman" w:hAnsi="Times New Roman"/>
          <w:b w:val="1"/>
          <w:color w:val="0000cc"/>
          <w:sz w:val="20"/>
          <w:szCs w:val="20"/>
          <w:rtl w:val="0"/>
        </w:rPr>
        <w:t xml:space="preserve"> до тендеру № </w:t>
      </w:r>
      <w:r w:rsidDel="00000000" w:rsidR="00000000" w:rsidRPr="00000000">
        <w:rPr>
          <w:rFonts w:ascii="Times New Roman" w:cs="Times New Roman" w:eastAsia="Times New Roman" w:hAnsi="Times New Roman"/>
          <w:b w:val="1"/>
          <w:smallCaps w:val="1"/>
          <w:sz w:val="20"/>
          <w:szCs w:val="20"/>
          <w:rtl w:val="0"/>
        </w:rPr>
        <w:t xml:space="preserve">Q1-T163-RFP NP</w:t>
      </w:r>
      <w:r w:rsidDel="00000000" w:rsidR="00000000" w:rsidRPr="00000000">
        <w:rPr>
          <w:rFonts w:ascii="Times New Roman" w:cs="Times New Roman" w:eastAsia="Times New Roman" w:hAnsi="Times New Roman"/>
          <w:b w:val="1"/>
          <w:color w:val="0000cc"/>
          <w:sz w:val="20"/>
          <w:szCs w:val="20"/>
          <w:rtl w:val="0"/>
        </w:rPr>
        <w:t xml:space="preserve"> (додатки А, С, документи) і </w:t>
      </w:r>
      <w:r w:rsidDel="00000000" w:rsidR="00000000" w:rsidRPr="00000000">
        <w:rPr>
          <w:rFonts w:ascii="Times New Roman" w:cs="Times New Roman" w:eastAsia="Times New Roman" w:hAnsi="Times New Roman"/>
          <w:b w:val="1"/>
          <w:color w:val="0000cc"/>
          <w:sz w:val="20"/>
          <w:szCs w:val="20"/>
          <w:u w:val="single"/>
          <w:rtl w:val="0"/>
        </w:rPr>
        <w:t xml:space="preserve">Фінансова пропозиція</w:t>
      </w:r>
      <w:r w:rsidDel="00000000" w:rsidR="00000000" w:rsidRPr="00000000">
        <w:rPr>
          <w:rFonts w:ascii="Times New Roman" w:cs="Times New Roman" w:eastAsia="Times New Roman" w:hAnsi="Times New Roman"/>
          <w:b w:val="1"/>
          <w:color w:val="0000cc"/>
          <w:sz w:val="20"/>
          <w:szCs w:val="20"/>
          <w:rtl w:val="0"/>
        </w:rPr>
        <w:t xml:space="preserve"> до тендеру № </w:t>
      </w:r>
      <w:r w:rsidDel="00000000" w:rsidR="00000000" w:rsidRPr="00000000">
        <w:rPr>
          <w:rFonts w:ascii="Times New Roman" w:cs="Times New Roman" w:eastAsia="Times New Roman" w:hAnsi="Times New Roman"/>
          <w:b w:val="1"/>
          <w:smallCaps w:val="1"/>
          <w:sz w:val="20"/>
          <w:szCs w:val="20"/>
          <w:rtl w:val="0"/>
        </w:rPr>
        <w:t xml:space="preserve">Q1-T163-RFP NP</w:t>
      </w:r>
      <w:r w:rsidDel="00000000" w:rsidR="00000000" w:rsidRPr="00000000">
        <w:rPr>
          <w:rFonts w:ascii="Times New Roman" w:cs="Times New Roman" w:eastAsia="Times New Roman" w:hAnsi="Times New Roman"/>
          <w:b w:val="1"/>
          <w:color w:val="0000cc"/>
          <w:sz w:val="20"/>
          <w:szCs w:val="20"/>
          <w:rtl w:val="0"/>
        </w:rPr>
        <w:t xml:space="preserve"> (додаток В і комерційна пропозиція)</w:t>
      </w:r>
      <w:r w:rsidDel="00000000" w:rsidR="00000000" w:rsidRPr="00000000">
        <w:rPr>
          <w:rFonts w:ascii="Times New Roman" w:cs="Times New Roman" w:eastAsia="Times New Roman" w:hAnsi="Times New Roman"/>
          <w:b w:val="1"/>
          <w:color w:val="0000cc"/>
          <w:sz w:val="24"/>
          <w:szCs w:val="24"/>
          <w:rtl w:val="0"/>
        </w:rPr>
        <w:t xml:space="preserve">) на адресу </w:t>
      </w:r>
      <w:r w:rsidDel="00000000" w:rsidR="00000000" w:rsidRPr="00000000">
        <w:rPr>
          <w:rFonts w:ascii="Times New Roman" w:cs="Times New Roman" w:eastAsia="Times New Roman" w:hAnsi="Times New Roman"/>
          <w:b w:val="1"/>
          <w:color w:val="c00000"/>
          <w:sz w:val="24"/>
          <w:szCs w:val="24"/>
          <w:rtl w:val="0"/>
        </w:rPr>
        <w:t xml:space="preserve">tender@r2p.org.ua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4"/>
          <w:szCs w:val="24"/>
          <w:rtl w:val="0"/>
        </w:rPr>
        <w:t xml:space="preserve">Заявки, подані пізніше вказаного терміну або не на вказану адресу, розглядатися не будуть.</w:t>
      </w: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240" w:lineRule="auto"/>
        <w:ind w:firstLine="284"/>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8E">
      <w:pPr>
        <w:spacing w:after="0" w:line="240" w:lineRule="auto"/>
        <w:ind w:firstLine="284"/>
        <w:jc w:val="both"/>
        <w:rPr>
          <w:rFonts w:ascii="Times New Roman" w:cs="Times New Roman" w:eastAsia="Times New Roman" w:hAnsi="Times New Roman"/>
          <w:color w:val="000000"/>
          <w:sz w:val="20"/>
          <w:szCs w:val="20"/>
        </w:rPr>
      </w:pPr>
      <w:bookmarkStart w:colFirst="0" w:colLast="0" w:name="_heading=h.3znysh7" w:id="6"/>
      <w:bookmarkEnd w:id="6"/>
      <w:r w:rsidDel="00000000" w:rsidR="00000000" w:rsidRPr="00000000">
        <w:rPr>
          <w:rFonts w:ascii="Times New Roman" w:cs="Times New Roman" w:eastAsia="Times New Roman" w:hAnsi="Times New Roman"/>
          <w:color w:val="000000"/>
          <w:sz w:val="20"/>
          <w:szCs w:val="20"/>
          <w:rtl w:val="0"/>
        </w:rPr>
        <w:t xml:space="preserve">Усі організації, які надали тендерні пропозиції у зазначені терміни, будуть повідомлені про прийняте рішення протягом десяти календарних днів від дати завершення збору пропозицій. </w:t>
      </w:r>
    </w:p>
    <w:p w:rsidR="00000000" w:rsidDel="00000000" w:rsidP="00000000" w:rsidRDefault="00000000" w:rsidRPr="00000000" w14:paraId="0000008F">
      <w:pPr>
        <w:spacing w:after="0" w:line="240" w:lineRule="auto"/>
        <w:ind w:firstLine="284"/>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У разі виникнення запитань щодо подання пропозиції Ви можете звертатися за електронною поштою m.terletska@r2p.org.ua </w:t>
      </w:r>
      <w:r w:rsidDel="00000000" w:rsidR="00000000" w:rsidRPr="00000000">
        <w:rPr>
          <w:rtl w:val="0"/>
        </w:rPr>
      </w:r>
    </w:p>
    <w:p w:rsidR="00000000" w:rsidDel="00000000" w:rsidP="00000000" w:rsidRDefault="00000000" w:rsidRPr="00000000" w14:paraId="00000090">
      <w:pPr>
        <w:spacing w:after="0" w:line="240" w:lineRule="auto"/>
        <w:ind w:firstLine="284"/>
        <w:jc w:val="both"/>
        <w:rPr>
          <w:rFonts w:ascii="Times New Roman" w:cs="Times New Roman" w:eastAsia="Times New Roman" w:hAnsi="Times New Roman"/>
          <w:sz w:val="4"/>
          <w:szCs w:val="4"/>
          <w:highlight w:val="yellow"/>
        </w:rPr>
      </w:pPr>
      <w:bookmarkStart w:colFirst="0" w:colLast="0" w:name="_heading=h.2et92p0" w:id="7"/>
      <w:bookmarkEnd w:id="7"/>
      <w:r w:rsidDel="00000000" w:rsidR="00000000" w:rsidRPr="00000000">
        <w:rPr>
          <w:rtl w:val="0"/>
        </w:rPr>
      </w:r>
    </w:p>
    <w:p w:rsidR="00000000" w:rsidDel="00000000" w:rsidP="00000000" w:rsidRDefault="00000000" w:rsidRPr="00000000" w14:paraId="00000091">
      <w:pPr>
        <w:spacing w:after="0" w:line="240" w:lineRule="auto"/>
        <w:ind w:firstLine="284"/>
        <w:jc w:val="both"/>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92">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Дякуємо за співробітництво.</w:t>
      </w:r>
    </w:p>
    <w:p w:rsidR="00000000" w:rsidDel="00000000" w:rsidP="00000000" w:rsidRDefault="00000000" w:rsidRPr="00000000" w14:paraId="00000093">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 повагою,</w:t>
        <w:tab/>
        <w:tab/>
        <w:tab/>
        <w:tab/>
        <w:tab/>
        <w:tab/>
        <w:tab/>
        <w:tab/>
        <w:tab/>
        <w:t xml:space="preserve">Президент Олександр Галкін</w:t>
        <w:br w:type="textWrapping"/>
        <w:br w:type="textWrapping"/>
      </w:r>
    </w:p>
    <w:p w:rsidR="00000000" w:rsidDel="00000000" w:rsidP="00000000" w:rsidRDefault="00000000" w:rsidRPr="00000000" w14:paraId="00000094">
      <w:pPr>
        <w:widowControl w:val="0"/>
        <w:spacing w:after="0" w:line="240" w:lineRule="auto"/>
        <w:ind w:hanging="1"/>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000000" w:rsidDel="00000000" w:rsidP="00000000" w:rsidRDefault="00000000" w:rsidRPr="00000000" w14:paraId="00000095">
      <w:pPr>
        <w:widowControl w:val="0"/>
        <w:spacing w:after="0" w:line="240" w:lineRule="auto"/>
        <w:ind w:hanging="1"/>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96">
      <w:pPr>
        <w:widowControl w:val="0"/>
        <w:spacing w:after="0" w:line="240" w:lineRule="auto"/>
        <w:ind w:hanging="1"/>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Зважаючи на те, що Замовник є імплементуючим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(укр. мовою наведений за посиланням - https://www.unhcr.org/ua/wp-content/uploads/sites/38/2023/04/%D0%94%D0%BE%D0%B4%D0%B0%D1%82%D0%BE%D0%BA-E-%D0%9A%D0%BE%D0%B4%D0%B5%D0%BA%D1%81-%D0%BF%D0%BE%D0%B2%D0%B5%D0%B4%D1%96%D0%BD%D0%BA%D0%B8-%D0%BF%D0%BE%D1%81%D1%82%D0%B0%D1%87%D0%B0%D0%BB%D1%8C%D0%BD%D0%B8%D0%BA%D1%96%D0%B2-%D0%9E%D0%9E%D0%9D.pdf</w:t>
      </w:r>
    </w:p>
    <w:p w:rsidR="00000000" w:rsidDel="00000000" w:rsidP="00000000" w:rsidRDefault="00000000" w:rsidRPr="00000000" w14:paraId="00000097">
      <w:pPr>
        <w:widowControl w:val="0"/>
        <w:spacing w:after="0" w:line="240" w:lineRule="auto"/>
        <w:ind w:hanging="1"/>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98">
      <w:pPr>
        <w:widowControl w:val="0"/>
        <w:spacing w:after="0" w:line="240" w:lineRule="auto"/>
        <w:ind w:hanging="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тел: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тел: +380 99 217 58 95 «гаряча лінія» для скарг.</w:t>
      </w:r>
      <w:r w:rsidDel="00000000" w:rsidR="00000000" w:rsidRPr="00000000">
        <w:rPr>
          <w:rtl w:val="0"/>
        </w:rPr>
      </w:r>
    </w:p>
    <w:sectPr>
      <w:footerReference r:id="rId13" w:type="default"/>
      <w:pgSz w:h="16838" w:w="11906" w:orient="portrait"/>
      <w:pgMar w:bottom="260.78740157480524" w:top="283.46456692913387" w:left="708.6614173228347" w:right="710.0787401574809" w:header="142"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819"/>
        <w:tab w:val="right" w:leader="none" w:pos="9639"/>
        <w:tab w:val="left" w:leader="none" w:pos="1397"/>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-382901</wp:posOffset>
          </wp:positionH>
          <wp:positionV relativeFrom="paragraph">
            <wp:posOffset>35560</wp:posOffset>
          </wp:positionV>
          <wp:extent cx="7572375" cy="228600"/>
          <wp:effectExtent b="0" l="0" r="0" t="0"/>
          <wp:wrapNone/>
          <wp:docPr descr="C:\Users\WK\Desktop\R2B -brandbook-ukr\RIGHT-Protection\RIGHT-Protection\blank\line.png" id="6" name="image3.png"/>
          <a:graphic>
            <a:graphicData uri="http://schemas.openxmlformats.org/drawingml/2006/picture">
              <pic:pic>
                <pic:nvPicPr>
                  <pic:cNvPr descr="C:\Users\WK\Desktop\R2B -brandbook-ukr\RIGHT-Protection\RIGHT-Protection\blank\line.png" id="0" name="image3.png"/>
                  <pic:cNvPicPr preferRelativeResize="0"/>
                </pic:nvPicPr>
                <pic:blipFill>
                  <a:blip r:embed="rId1"/>
                  <a:srcRect b="0" l="0" r="0" t="0"/>
                  <a:stretch>
                    <a:fillRect/>
                  </a:stretch>
                </pic:blipFill>
                <pic:spPr>
                  <a:xfrm>
                    <a:off x="0" y="0"/>
                    <a:ext cx="7572375" cy="22860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sz w:val="18"/>
        <w:szCs w:val="18"/>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7"/>
      <w:numFmt w:val="upperRoman"/>
      <w:lvlText w:val="%1."/>
      <w:lvlJc w:val="left"/>
      <w:pPr>
        <w:ind w:left="2677" w:hanging="588"/>
      </w:pPr>
      <w:rPr>
        <w:rFonts w:ascii="Georgia" w:cs="Georgia" w:eastAsia="Georgia" w:hAnsi="Georgia"/>
        <w:b w:val="1"/>
        <w:sz w:val="21"/>
        <w:szCs w:val="21"/>
      </w:rPr>
    </w:lvl>
    <w:lvl w:ilvl="1">
      <w:start w:val="1"/>
      <w:numFmt w:val="decimal"/>
      <w:lvlText w:val="%2."/>
      <w:lvlJc w:val="left"/>
      <w:pPr>
        <w:ind w:left="2449" w:hanging="276"/>
      </w:pPr>
      <w:rPr>
        <w:rFonts w:ascii="Georgia" w:cs="Georgia" w:eastAsia="Georgia" w:hAnsi="Georgia"/>
        <w:sz w:val="21"/>
        <w:szCs w:val="21"/>
      </w:rPr>
    </w:lvl>
    <w:lvl w:ilvl="2">
      <w:start w:val="1"/>
      <w:numFmt w:val="bullet"/>
      <w:lvlText w:val="•"/>
      <w:lvlJc w:val="left"/>
      <w:pPr>
        <w:ind w:left="3731" w:hanging="276"/>
      </w:pPr>
      <w:rPr/>
    </w:lvl>
    <w:lvl w:ilvl="3">
      <w:start w:val="1"/>
      <w:numFmt w:val="bullet"/>
      <w:lvlText w:val="•"/>
      <w:lvlJc w:val="left"/>
      <w:pPr>
        <w:ind w:left="4785" w:hanging="276"/>
      </w:pPr>
      <w:rPr/>
    </w:lvl>
    <w:lvl w:ilvl="4">
      <w:start w:val="1"/>
      <w:numFmt w:val="bullet"/>
      <w:lvlText w:val="•"/>
      <w:lvlJc w:val="left"/>
      <w:pPr>
        <w:ind w:left="5839" w:hanging="276"/>
      </w:pPr>
      <w:rPr/>
    </w:lvl>
    <w:lvl w:ilvl="5">
      <w:start w:val="1"/>
      <w:numFmt w:val="bullet"/>
      <w:lvlText w:val="•"/>
      <w:lvlJc w:val="left"/>
      <w:pPr>
        <w:ind w:left="6894" w:hanging="276"/>
      </w:pPr>
      <w:rPr/>
    </w:lvl>
    <w:lvl w:ilvl="6">
      <w:start w:val="1"/>
      <w:numFmt w:val="bullet"/>
      <w:lvlText w:val="•"/>
      <w:lvlJc w:val="left"/>
      <w:pPr>
        <w:ind w:left="7948" w:hanging="276.0000000000009"/>
      </w:pPr>
      <w:rPr/>
    </w:lvl>
    <w:lvl w:ilvl="7">
      <w:start w:val="1"/>
      <w:numFmt w:val="bullet"/>
      <w:lvlText w:val="•"/>
      <w:lvlJc w:val="left"/>
      <w:pPr>
        <w:ind w:left="9002" w:hanging="276"/>
      </w:pPr>
      <w:rPr/>
    </w:lvl>
    <w:lvl w:ilvl="8">
      <w:start w:val="1"/>
      <w:numFmt w:val="bullet"/>
      <w:lvlText w:val="•"/>
      <w:lvlJc w:val="left"/>
      <w:pPr>
        <w:ind w:left="10056" w:hanging="276"/>
      </w:pPr>
      <w:rPr/>
    </w:lvl>
  </w:abstractNum>
  <w:abstractNum w:abstractNumId="3">
    <w:lvl w:ilvl="0">
      <w:start w:val="5"/>
      <w:numFmt w:val="upperRoman"/>
      <w:lvlText w:val="%1."/>
      <w:lvlJc w:val="left"/>
      <w:pPr>
        <w:ind w:left="466" w:hanging="362"/>
      </w:pPr>
      <w:rPr>
        <w:rFonts w:ascii="Book Antiqua" w:cs="Book Antiqua" w:eastAsia="Book Antiqua" w:hAnsi="Book Antiqua"/>
        <w:b w:val="1"/>
        <w:sz w:val="22"/>
        <w:szCs w:val="22"/>
      </w:rPr>
    </w:lvl>
    <w:lvl w:ilvl="1">
      <w:start w:val="1"/>
      <w:numFmt w:val="bullet"/>
      <w:lvlText w:val="▪"/>
      <w:lvlJc w:val="left"/>
      <w:pPr>
        <w:ind w:left="464" w:hanging="360"/>
      </w:pPr>
      <w:rPr>
        <w:rFonts w:ascii="Noto Sans Symbols" w:cs="Noto Sans Symbols" w:eastAsia="Noto Sans Symbols" w:hAnsi="Noto Sans Symbols"/>
        <w:sz w:val="21"/>
        <w:szCs w:val="21"/>
      </w:rPr>
    </w:lvl>
    <w:lvl w:ilvl="2">
      <w:start w:val="1"/>
      <w:numFmt w:val="bullet"/>
      <w:lvlText w:val="•"/>
      <w:lvlJc w:val="left"/>
      <w:pPr>
        <w:ind w:left="1546" w:hanging="360"/>
      </w:pPr>
      <w:rPr/>
    </w:lvl>
    <w:lvl w:ilvl="3">
      <w:start w:val="1"/>
      <w:numFmt w:val="bullet"/>
      <w:lvlText w:val="•"/>
      <w:lvlJc w:val="left"/>
      <w:pPr>
        <w:ind w:left="2625" w:hanging="360"/>
      </w:pPr>
      <w:rPr/>
    </w:lvl>
    <w:lvl w:ilvl="4">
      <w:start w:val="1"/>
      <w:numFmt w:val="bullet"/>
      <w:lvlText w:val="•"/>
      <w:lvlJc w:val="left"/>
      <w:pPr>
        <w:ind w:left="3704" w:hanging="360"/>
      </w:pPr>
      <w:rPr/>
    </w:lvl>
    <w:lvl w:ilvl="5">
      <w:start w:val="1"/>
      <w:numFmt w:val="bullet"/>
      <w:lvlText w:val="•"/>
      <w:lvlJc w:val="left"/>
      <w:pPr>
        <w:ind w:left="4783" w:hanging="360"/>
      </w:pPr>
      <w:rPr/>
    </w:lvl>
    <w:lvl w:ilvl="6">
      <w:start w:val="1"/>
      <w:numFmt w:val="bullet"/>
      <w:lvlText w:val="•"/>
      <w:lvlJc w:val="left"/>
      <w:pPr>
        <w:ind w:left="5863" w:hanging="360"/>
      </w:pPr>
      <w:rPr/>
    </w:lvl>
    <w:lvl w:ilvl="7">
      <w:start w:val="1"/>
      <w:numFmt w:val="bullet"/>
      <w:lvlText w:val="•"/>
      <w:lvlJc w:val="left"/>
      <w:pPr>
        <w:ind w:left="6942" w:hanging="360"/>
      </w:pPr>
      <w:rPr/>
    </w:lvl>
    <w:lvl w:ilvl="8">
      <w:start w:val="1"/>
      <w:numFmt w:val="bullet"/>
      <w:lvlText w:val="•"/>
      <w:lvlJc w:val="left"/>
      <w:pPr>
        <w:ind w:left="8021" w:hanging="360"/>
      </w:pPr>
      <w:rPr/>
    </w:lvl>
  </w:abstractNum>
  <w:abstractNum w:abstractNumId="4">
    <w:lvl w:ilvl="0">
      <w:start w:val="4"/>
      <w:numFmt w:val="decimal"/>
      <w:lvlText w:val="%1"/>
      <w:lvlJc w:val="left"/>
      <w:pPr>
        <w:ind w:left="706" w:hanging="360.00000000000006"/>
      </w:pPr>
      <w:rPr/>
    </w:lvl>
    <w:lvl w:ilvl="1">
      <w:start w:val="1"/>
      <w:numFmt w:val="decimal"/>
      <w:lvlText w:val="%1.%2"/>
      <w:lvlJc w:val="left"/>
      <w:pPr>
        <w:ind w:left="644" w:hanging="357"/>
      </w:pPr>
      <w:rPr>
        <w:rFonts w:ascii="Georgia" w:cs="Georgia" w:eastAsia="Georgia" w:hAnsi="Georgia"/>
        <w:b w:val="1"/>
        <w:sz w:val="21"/>
        <w:szCs w:val="21"/>
      </w:rPr>
    </w:lvl>
    <w:lvl w:ilvl="2">
      <w:start w:val="1"/>
      <w:numFmt w:val="lowerLetter"/>
      <w:lvlText w:val="%3)"/>
      <w:lvlJc w:val="left"/>
      <w:pPr>
        <w:ind w:left="1112" w:hanging="358"/>
      </w:pPr>
      <w:rPr>
        <w:rFonts w:ascii="Georgia" w:cs="Georgia" w:eastAsia="Georgia" w:hAnsi="Georgia"/>
        <w:sz w:val="21"/>
        <w:szCs w:val="21"/>
      </w:rPr>
    </w:lvl>
    <w:lvl w:ilvl="3">
      <w:start w:val="1"/>
      <w:numFmt w:val="bullet"/>
      <w:lvlText w:val="•"/>
      <w:lvlJc w:val="left"/>
      <w:pPr>
        <w:ind w:left="3100" w:hanging="358"/>
      </w:pPr>
      <w:rPr/>
    </w:lvl>
    <w:lvl w:ilvl="4">
      <w:start w:val="1"/>
      <w:numFmt w:val="bullet"/>
      <w:lvlText w:val="•"/>
      <w:lvlJc w:val="left"/>
      <w:pPr>
        <w:ind w:left="4094" w:hanging="358.00000000000045"/>
      </w:pPr>
      <w:rPr/>
    </w:lvl>
    <w:lvl w:ilvl="5">
      <w:start w:val="1"/>
      <w:numFmt w:val="bullet"/>
      <w:lvlText w:val="•"/>
      <w:lvlJc w:val="left"/>
      <w:pPr>
        <w:ind w:left="5089" w:hanging="358"/>
      </w:pPr>
      <w:rPr/>
    </w:lvl>
    <w:lvl w:ilvl="6">
      <w:start w:val="1"/>
      <w:numFmt w:val="bullet"/>
      <w:lvlText w:val="•"/>
      <w:lvlJc w:val="left"/>
      <w:pPr>
        <w:ind w:left="6083" w:hanging="358"/>
      </w:pPr>
      <w:rPr/>
    </w:lvl>
    <w:lvl w:ilvl="7">
      <w:start w:val="1"/>
      <w:numFmt w:val="bullet"/>
      <w:lvlText w:val="•"/>
      <w:lvlJc w:val="left"/>
      <w:pPr>
        <w:ind w:left="7077" w:hanging="357"/>
      </w:pPr>
      <w:rPr/>
    </w:lvl>
    <w:lvl w:ilvl="8">
      <w:start w:val="1"/>
      <w:numFmt w:val="bullet"/>
      <w:lvlText w:val="•"/>
      <w:lvlJc w:val="left"/>
      <w:pPr>
        <w:ind w:left="8071" w:hanging="357"/>
      </w:pPr>
      <w:rPr/>
    </w:lvl>
  </w:abstractNum>
  <w:abstractNum w:abstractNumId="5">
    <w:lvl w:ilvl="0">
      <w:start w:val="1"/>
      <w:numFmt w:val="upperRoman"/>
      <w:lvlText w:val="%1."/>
      <w:lvlJc w:val="left"/>
      <w:pPr>
        <w:ind w:left="363" w:firstLine="203.9291338582675"/>
      </w:pPr>
      <w:rPr>
        <w:rFonts w:ascii="Georgia" w:cs="Georgia" w:eastAsia="Georgia" w:hAnsi="Georgia"/>
        <w:b w:val="1"/>
        <w:sz w:val="21"/>
        <w:szCs w:val="21"/>
      </w:rPr>
    </w:lvl>
    <w:lvl w:ilvl="1">
      <w:start w:val="1"/>
      <w:numFmt w:val="bullet"/>
      <w:lvlText w:val="•"/>
      <w:lvlJc w:val="left"/>
      <w:pPr>
        <w:ind w:left="363" w:hanging="363"/>
      </w:pPr>
      <w:rPr/>
    </w:lvl>
    <w:lvl w:ilvl="2">
      <w:start w:val="1"/>
      <w:numFmt w:val="bullet"/>
      <w:lvlText w:val="•"/>
      <w:lvlJc w:val="left"/>
      <w:pPr>
        <w:ind w:left="1443" w:hanging="362"/>
      </w:pPr>
      <w:rPr/>
    </w:lvl>
    <w:lvl w:ilvl="3">
      <w:start w:val="1"/>
      <w:numFmt w:val="bullet"/>
      <w:lvlText w:val="•"/>
      <w:lvlJc w:val="left"/>
      <w:pPr>
        <w:ind w:left="2522" w:hanging="363"/>
      </w:pPr>
      <w:rPr/>
    </w:lvl>
    <w:lvl w:ilvl="4">
      <w:start w:val="1"/>
      <w:numFmt w:val="bullet"/>
      <w:lvlText w:val="•"/>
      <w:lvlJc w:val="left"/>
      <w:pPr>
        <w:ind w:left="3601" w:hanging="363"/>
      </w:pPr>
      <w:rPr/>
    </w:lvl>
    <w:lvl w:ilvl="5">
      <w:start w:val="1"/>
      <w:numFmt w:val="bullet"/>
      <w:lvlText w:val="•"/>
      <w:lvlJc w:val="left"/>
      <w:pPr>
        <w:ind w:left="4680" w:hanging="363"/>
      </w:pPr>
      <w:rPr/>
    </w:lvl>
    <w:lvl w:ilvl="6">
      <w:start w:val="1"/>
      <w:numFmt w:val="bullet"/>
      <w:lvlText w:val="•"/>
      <w:lvlJc w:val="left"/>
      <w:pPr>
        <w:ind w:left="5760" w:hanging="363"/>
      </w:pPr>
      <w:rPr/>
    </w:lvl>
    <w:lvl w:ilvl="7">
      <w:start w:val="1"/>
      <w:numFmt w:val="bullet"/>
      <w:lvlText w:val="•"/>
      <w:lvlJc w:val="left"/>
      <w:pPr>
        <w:ind w:left="6839" w:hanging="363"/>
      </w:pPr>
      <w:rPr/>
    </w:lvl>
    <w:lvl w:ilvl="8">
      <w:start w:val="1"/>
      <w:numFmt w:val="bullet"/>
      <w:lvlText w:val="•"/>
      <w:lvlJc w:val="left"/>
      <w:pPr>
        <w:ind w:left="7918" w:hanging="363"/>
      </w:pPr>
      <w:rPr/>
    </w:lvl>
  </w:abstractNum>
  <w:abstractNum w:abstractNumId="6">
    <w:lvl w:ilvl="0">
      <w:start w:val="1"/>
      <w:numFmt w:val="decimal"/>
      <w:lvlText w:val="%1."/>
      <w:lvlJc w:val="left"/>
      <w:pPr>
        <w:ind w:left="360" w:hanging="360"/>
      </w:pPr>
      <w:rPr/>
    </w:lvl>
    <w:lvl w:ilvl="1">
      <w:start w:val="1"/>
      <w:numFmt w:val="decimal"/>
      <w:lvlText w:val="%2."/>
      <w:lvlJc w:val="left"/>
      <w:pPr>
        <w:ind w:left="792" w:hanging="225.0708661417325"/>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466" w:hanging="362"/>
    </w:pPr>
    <w:rPr>
      <w:rFonts w:ascii="Book Antiqua" w:cs="Book Antiqua" w:eastAsia="Book Antiqua" w:hAnsi="Book Antiqua"/>
      <w:b w:val="1"/>
    </w:rPr>
  </w:style>
  <w:style w:type="paragraph" w:styleId="Heading2">
    <w:name w:val="heading 2"/>
    <w:basedOn w:val="Normal"/>
    <w:next w:val="Normal"/>
    <w:pPr>
      <w:widowControl w:val="0"/>
      <w:spacing w:after="0" w:line="240" w:lineRule="auto"/>
      <w:ind w:left="826" w:hanging="360"/>
    </w:pPr>
    <w:rPr>
      <w:rFonts w:ascii="Book Antiqua" w:cs="Book Antiqua" w:eastAsia="Book Antiqua" w:hAnsi="Book Antiqua"/>
    </w:rPr>
  </w:style>
  <w:style w:type="paragraph" w:styleId="Heading3">
    <w:name w:val="heading 3"/>
    <w:basedOn w:val="Normal"/>
    <w:next w:val="Normal"/>
    <w:pPr>
      <w:widowControl w:val="0"/>
      <w:spacing w:after="0" w:line="240" w:lineRule="auto"/>
      <w:ind w:left="466" w:hanging="362"/>
    </w:pPr>
    <w:rPr>
      <w:rFonts w:ascii="Georgia" w:cs="Georgia" w:eastAsia="Georgia" w:hAnsi="Georgia"/>
      <w:b w:val="1"/>
      <w:sz w:val="21"/>
      <w:szCs w:val="2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widowControl w:val="0"/>
      <w:spacing w:after="0" w:line="240" w:lineRule="auto"/>
      <w:ind w:left="466" w:hanging="362"/>
      <w:outlineLvl w:val="0"/>
    </w:pPr>
    <w:rPr>
      <w:rFonts w:ascii="Book Antiqua" w:cs="Book Antiqua" w:eastAsia="Book Antiqua" w:hAnsi="Book Antiqua"/>
      <w:b w:val="1"/>
    </w:rPr>
  </w:style>
  <w:style w:type="paragraph" w:styleId="2">
    <w:name w:val="heading 2"/>
    <w:basedOn w:val="a"/>
    <w:next w:val="a"/>
    <w:uiPriority w:val="9"/>
    <w:unhideWhenUsed w:val="1"/>
    <w:qFormat w:val="1"/>
    <w:pPr>
      <w:widowControl w:val="0"/>
      <w:spacing w:after="0" w:line="240" w:lineRule="auto"/>
      <w:ind w:left="826" w:hanging="360"/>
      <w:outlineLvl w:val="1"/>
    </w:pPr>
    <w:rPr>
      <w:rFonts w:ascii="Book Antiqua" w:cs="Book Antiqua" w:eastAsia="Book Antiqua" w:hAnsi="Book Antiqua"/>
    </w:rPr>
  </w:style>
  <w:style w:type="paragraph" w:styleId="3">
    <w:name w:val="heading 3"/>
    <w:basedOn w:val="a"/>
    <w:next w:val="a"/>
    <w:uiPriority w:val="9"/>
    <w:unhideWhenUsed w:val="1"/>
    <w:qFormat w:val="1"/>
    <w:pPr>
      <w:widowControl w:val="0"/>
      <w:spacing w:after="0" w:line="240" w:lineRule="auto"/>
      <w:ind w:left="466" w:hanging="362"/>
      <w:outlineLvl w:val="2"/>
    </w:pPr>
    <w:rPr>
      <w:rFonts w:ascii="Georgia" w:cs="Georgia" w:eastAsia="Georgia" w:hAnsi="Georgia"/>
      <w:b w:val="1"/>
      <w:sz w:val="21"/>
      <w:szCs w:val="21"/>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TableNormal"/>
    <w:pPr>
      <w:widowControl w:val="0"/>
      <w:spacing w:after="0" w:line="240" w:lineRule="auto"/>
    </w:pPr>
    <w:tblPr>
      <w:tblStyleRowBandSize w:val="1"/>
      <w:tblStyleColBandSize w:val="1"/>
      <w:tblCellMar>
        <w:left w:w="108.0" w:type="dxa"/>
        <w:right w:w="108.0" w:type="dxa"/>
      </w:tblCellMar>
    </w:tblPr>
  </w:style>
  <w:style w:type="table" w:styleId="a6" w:customStyle="1">
    <w:basedOn w:val="TableNormal"/>
    <w:pPr>
      <w:widowControl w:val="0"/>
      <w:spacing w:after="0" w:line="240" w:lineRule="auto"/>
    </w:pPr>
    <w:tblPr>
      <w:tblStyleRowBandSize w:val="1"/>
      <w:tblStyleColBandSize w:val="1"/>
      <w:tblCellMar>
        <w:left w:w="108.0" w:type="dxa"/>
        <w:right w:w="108.0" w:type="dxa"/>
      </w:tblCellMar>
    </w:tblPr>
  </w:style>
  <w:style w:type="paragraph" w:styleId="a7">
    <w:name w:val="header"/>
    <w:basedOn w:val="a"/>
    <w:link w:val="a8"/>
    <w:uiPriority w:val="99"/>
    <w:unhideWhenUsed w:val="1"/>
    <w:rsid w:val="00CE6579"/>
    <w:pPr>
      <w:tabs>
        <w:tab w:val="center" w:pos="4819"/>
        <w:tab w:val="right" w:pos="9639"/>
      </w:tabs>
      <w:spacing w:after="0" w:line="240" w:lineRule="auto"/>
    </w:pPr>
  </w:style>
  <w:style w:type="character" w:styleId="a8" w:customStyle="1">
    <w:name w:val="Верхний колонтитул Знак"/>
    <w:basedOn w:val="a0"/>
    <w:link w:val="a7"/>
    <w:uiPriority w:val="99"/>
    <w:rsid w:val="00CE6579"/>
  </w:style>
  <w:style w:type="paragraph" w:styleId="a9">
    <w:name w:val="footer"/>
    <w:basedOn w:val="a"/>
    <w:link w:val="aa"/>
    <w:uiPriority w:val="99"/>
    <w:unhideWhenUsed w:val="1"/>
    <w:rsid w:val="00CE6579"/>
    <w:pPr>
      <w:tabs>
        <w:tab w:val="center" w:pos="4819"/>
        <w:tab w:val="right" w:pos="9639"/>
      </w:tabs>
      <w:spacing w:after="0" w:line="240" w:lineRule="auto"/>
    </w:pPr>
  </w:style>
  <w:style w:type="character" w:styleId="aa" w:customStyle="1">
    <w:name w:val="Нижний колонтитул Знак"/>
    <w:basedOn w:val="a0"/>
    <w:link w:val="a9"/>
    <w:uiPriority w:val="99"/>
    <w:rsid w:val="00CE6579"/>
  </w:style>
  <w:style w:type="paragraph" w:styleId="ab">
    <w:name w:val="List Paragraph"/>
    <w:basedOn w:val="a"/>
    <w:uiPriority w:val="34"/>
    <w:qFormat w:val="1"/>
    <w:rsid w:val="004A63C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ender@r2p.org.ua" TargetMode="External"/><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yperlink" Target="mailto:tender@r2p.org.u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2p.org.u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r2p@r2p.org.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ORYTnleNLGxW65bk/sRVfwACpg==">CgMxLjAyCGguZ2pkZ3hzMgloLjMwajB6bGwyDmguYzloZzZsNGN4enV1Mg5oLnN0dW1zY210YXplbTIOaC41bW45Y25mbHkxZW8yCWguMWZvYjl0ZTIJaC4zem55c2g3MgloLjJldDkycDA4AHIhMTRzS2kyeHZFUDNjeHdHbnF5LWJYbTJrdjUyWHdLQmtM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2025-01-27T10:19:00Z</dcterms:created>
  <dc:creator>Lyudmyla Pochapska</dc:creator>
</cp:coreProperties>
</file>