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rPr>
          <w:rFonts w:ascii="Calibri" w:cs="Calibri" w:eastAsia="Calibri" w:hAnsi="Calibri"/>
          <w:b w:val="1"/>
          <w:color w:val="0f549b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66091"/>
          <w:sz w:val="22"/>
          <w:szCs w:val="22"/>
          <w:highlight w:val="white"/>
          <w:rtl w:val="0"/>
        </w:rPr>
        <w:tab/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color w:val="0f549b"/>
          <w:sz w:val="22"/>
          <w:szCs w:val="22"/>
          <w:highlight w:val="white"/>
          <w:rtl w:val="0"/>
        </w:rPr>
        <w:t xml:space="preserve">БЛАГОДІЙНА ОРГАНІЗАЦІЯ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3813</wp:posOffset>
            </wp:positionH>
            <wp:positionV relativeFrom="paragraph">
              <wp:posOffset>5080</wp:posOffset>
            </wp:positionV>
            <wp:extent cx="1675130" cy="97536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975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rPr>
          <w:rFonts w:ascii="Calibri" w:cs="Calibri" w:eastAsia="Calibri" w:hAnsi="Calibri"/>
          <w:b w:val="1"/>
          <w:color w:val="0f549b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f549b"/>
          <w:sz w:val="22"/>
          <w:szCs w:val="22"/>
          <w:highlight w:val="white"/>
          <w:rtl w:val="0"/>
        </w:rPr>
        <w:t xml:space="preserve">«БЛАГОДІЙНИЙ ФОНД «ПРАВО НА ЗАХИСТ»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jc w:val="center"/>
        <w:rPr>
          <w:rFonts w:ascii="Calibri" w:cs="Calibri" w:eastAsia="Calibri" w:hAnsi="Calibri"/>
          <w:color w:val="0f549b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highlight w:val="white"/>
          <w:rtl w:val="0"/>
        </w:rPr>
        <w:t xml:space="preserve">Юр. адреса: вул. Прорізна, будинок 18/1, оф. 16, Київ, 04070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jc w:val="center"/>
        <w:rPr>
          <w:rFonts w:ascii="Calibri" w:cs="Calibri" w:eastAsia="Calibri" w:hAnsi="Calibri"/>
          <w:color w:val="0f549b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highlight w:val="white"/>
          <w:rtl w:val="0"/>
        </w:rPr>
        <w:t xml:space="preserve">Для листування: вул. Григорія Сковороди, 21/16, Київ,  04070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jc w:val="center"/>
        <w:rPr>
          <w:rFonts w:ascii="Calibri" w:cs="Calibri" w:eastAsia="Calibri" w:hAnsi="Calibri"/>
          <w:color w:val="0f549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rtl w:val="0"/>
        </w:rPr>
        <w:t xml:space="preserve">t:+38 044 337 17 62,  e-mail:</w:t>
      </w:r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f549b"/>
            <w:sz w:val="22"/>
            <w:szCs w:val="22"/>
            <w:rtl w:val="0"/>
          </w:rPr>
          <w:t xml:space="preserve">r2p@r2p.org.ua</w:t>
        </w:r>
      </w:hyperlink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jc w:val="center"/>
        <w:rPr>
          <w:rFonts w:ascii="Calibri" w:cs="Calibri" w:eastAsia="Calibri" w:hAnsi="Calibri"/>
          <w:color w:val="0f549b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rtl w:val="0"/>
        </w:rPr>
        <w:t xml:space="preserve">сайт: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https://r2p.org.ua/</w:t>
        </w:r>
      </w:hyperlink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f549b"/>
          <w:sz w:val="22"/>
          <w:szCs w:val="22"/>
          <w:highlight w:val="white"/>
          <w:rtl w:val="0"/>
        </w:rPr>
        <w:t xml:space="preserve">код згідно з ЄДРПОУ 38621206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right" w:leader="none" w:pos="9639"/>
        </w:tabs>
        <w:ind w:left="32" w:firstLine="0"/>
        <w:jc w:val="center"/>
        <w:rPr>
          <w:rFonts w:ascii="Calibri" w:cs="Calibri" w:eastAsia="Calibri" w:hAnsi="Calibri"/>
          <w:color w:val="36609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firstLine="709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66091"/>
          <w:sz w:val="22"/>
          <w:szCs w:val="22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-1080132</wp:posOffset>
            </wp:positionH>
            <wp:positionV relativeFrom="paragraph">
              <wp:posOffset>189230</wp:posOffset>
            </wp:positionV>
            <wp:extent cx="7730098" cy="223638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0098" cy="223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Шановні пані та панове!</w:t>
      </w:r>
    </w:p>
    <w:p w:rsidR="00000000" w:rsidDel="00000000" w:rsidP="00000000" w:rsidRDefault="00000000" w:rsidRPr="00000000" w14:paraId="0000000D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Благодійна організація «Благодійний фонд «Право на захист» (надалі за текстом – БФ «Право на захист») запрошує освітні установи взяти участь у конкурсі на проведення серії навчальних тренінгів (5 одноденних онлайн та 1 дводенний офлайн), а також серію індивідуальних консультацій (менторингу) з управління командою та надання сервісів управлінцям середньої ланки Фонду.</w:t>
      </w:r>
    </w:p>
    <w:p w:rsidR="00000000" w:rsidDel="00000000" w:rsidP="00000000" w:rsidRDefault="00000000" w:rsidRPr="00000000" w14:paraId="0000000F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-108.0" w:type="dxa"/>
        <w:tblBorders>
          <w:top w:color="7f7f7f" w:space="0" w:sz="4" w:val="single"/>
          <w:left w:color="000000" w:space="0" w:sz="4" w:val="single"/>
          <w:bottom w:color="7f7f7f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0"/>
        <w:gridCol w:w="4035"/>
        <w:tblGridChange w:id="0">
          <w:tblGrid>
            <w:gridCol w:w="5160"/>
            <w:gridCol w:w="403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Формат навчання: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Серія навчальних тренінгів з управління командою (онлайн)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1"/>
              <w:keepLines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Тривалість 1 сесії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 годин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 сесій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1"/>
              <w:keepLines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Загальна тривалість серії тренінгів для однієї групи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1"/>
              <w:keepLines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30 годин</w:t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1"/>
              <w:keepLines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 груп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1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 учасників в 1 групі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до 10 включно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(Всього годин серії онлайн-тренінгів - 210 годин)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Формат навчання: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2-х денний навчальний тренінг з з управління командою (офлайн-формат)</w:t>
            </w:r>
          </w:p>
          <w:tbl>
            <w:tblPr>
              <w:tblStyle w:val="Table2"/>
              <w:tblW w:w="10320.0" w:type="dxa"/>
              <w:jc w:val="left"/>
              <w:tblBorders>
                <w:top w:color="7f7f7f" w:space="0" w:sz="4" w:val="single"/>
                <w:left w:color="000000" w:space="0" w:sz="4" w:val="single"/>
                <w:bottom w:color="7f7f7f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160"/>
              <w:gridCol w:w="5160"/>
              <w:tblGridChange w:id="0">
                <w:tblGrid>
                  <w:gridCol w:w="5160"/>
                  <w:gridCol w:w="51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1"/>
                    <w:keepLines w:val="1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Тривалість 1 сесії  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1"/>
                    <w:keepLines w:val="1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2-х денний тренінг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1"/>
                    <w:keepLines w:val="1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Кількість сесій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1"/>
                    <w:keepLines w:val="1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1"/>
                    <w:keepLines w:val="1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Загальна тривалість тренінгу для однієї групи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1"/>
                    <w:keepLines w:val="1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16 годин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1"/>
                    <w:keepLines w:val="1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Кількість груп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1"/>
                    <w:keepLines w:val="1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1"/>
                    <w:keepLines w:val="1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Кількість учасників в 1 групі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1"/>
                    <w:keepLines w:val="1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до 35 включно</w:t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1"/>
                    <w:keepLines w:val="1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2"/>
                      <w:szCs w:val="22"/>
                      <w:rtl w:val="0"/>
                    </w:rPr>
                    <w:t xml:space="preserve">Локація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1"/>
                    <w:keepLines w:val="1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Київ</w:t>
                  </w:r>
                </w:p>
              </w:tc>
            </w:tr>
            <w:tr>
              <w:trPr>
                <w:cantSplit w:val="0"/>
                <w:trHeight w:val="29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B">
                  <w:pPr>
                    <w:keepNext w:val="1"/>
                    <w:keepLines w:val="1"/>
                    <w:jc w:val="center"/>
                    <w:rPr>
                      <w:rFonts w:ascii="Calibri" w:cs="Calibri" w:eastAsia="Calibri" w:hAnsi="Calibri"/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222222"/>
                      <w:sz w:val="22"/>
                      <w:szCs w:val="22"/>
                      <w:highlight w:val="white"/>
                      <w:rtl w:val="0"/>
                    </w:rPr>
                    <w:t xml:space="preserve">(Всього годин офлайн-тренінгів - 32 години)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keepNext w:val="1"/>
              <w:keepLines w:val="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Формат навчання: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Індивідуальний онлайн менторинг для учасників серії тренінгів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Тривалість 1 зустрічі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 хвилин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 зустрічей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Загальна кількість годин менторингу для 1 особи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90 хвилин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Формат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Індивідуально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1"/>
              <w:keepLines w:val="1"/>
              <w:spacing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Кількість учасників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right="897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до 70 включно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highlight w:val="white"/>
                <w:rtl w:val="0"/>
              </w:rPr>
              <w:t xml:space="preserve">(Всього годин індивідуального менторингу - 105 годин)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1"/>
        <w:keepLines w:val="1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Цільова аудиторія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70 осіб (у групах по 10 осіб на онлайн-тренінги та у групах по 35 осіб – на офлайн-тренінги) - менеджери середньої ланки Фонду.</w:t>
      </w:r>
    </w:p>
    <w:p w:rsidR="00000000" w:rsidDel="00000000" w:rsidP="00000000" w:rsidRDefault="00000000" w:rsidRPr="00000000" w14:paraId="0000003D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Відповідно до основних напрямків роботи Фонду (правова, соціальна, психологічна, матеріальна, грошова допомога, моніторинг ситуацій захисту) та наявних відділів підтримки (фінансовий, адміністративний, закупівельний відділи), команда менеджерів середньої ланки Фонду охоплює керівників-управлінців у регіонах, які мають у підпорядкуванні команди до 20 осіб. </w:t>
      </w:r>
    </w:p>
    <w:p w:rsidR="00000000" w:rsidDel="00000000" w:rsidP="00000000" w:rsidRDefault="00000000" w:rsidRPr="00000000" w14:paraId="0000003E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Більш детально ознайомитися з діяльністю Фонду можна за посиланням: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https://r2p.org.ua/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nsebuhkklvzh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1"/>
        <w:keepLines w:val="1"/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iofr7gi566rz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Мета тренінгу: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за допомогою серії онлайн-тренінгів (теорія + практичні завдання) та 2-х офлайн-тренінгів сформувати у менеджерів середньої ланки Фонду навички роботи з командою за визначеною тематикою. </w:t>
      </w:r>
    </w:p>
    <w:p w:rsidR="00000000" w:rsidDel="00000000" w:rsidP="00000000" w:rsidRDefault="00000000" w:rsidRPr="00000000" w14:paraId="00000041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qaw2zq6sof8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a99vuugvgd93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Дати та місця проведення тренінгів: </w:t>
      </w:r>
    </w:p>
    <w:p w:rsidR="00000000" w:rsidDel="00000000" w:rsidP="00000000" w:rsidRDefault="00000000" w:rsidRPr="00000000" w14:paraId="00000043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j0f8y6qicdgj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протягом квітня-жовтня 2024 року – 5 тренінгів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в онлайн-форматі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</w:t>
      </w:r>
    </w:p>
    <w:p w:rsidR="00000000" w:rsidDel="00000000" w:rsidP="00000000" w:rsidRDefault="00000000" w:rsidRPr="00000000" w14:paraId="00000044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nzk06vt2soxd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протягом листопада 2024 року – 2 тренінги в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офлайн-форматі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45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lwaok88kyryl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індивідуальні консультації (менторинг) для кожного з учасників (70) з питань управління командою 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в онлайн форматі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6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Завдання конкурсу (програма):</w:t>
      </w:r>
    </w:p>
    <w:p w:rsidR="00000000" w:rsidDel="00000000" w:rsidP="00000000" w:rsidRDefault="00000000" w:rsidRPr="00000000" w14:paraId="00000048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Отримання учасниками знань та формування навичок у форматі онлайн:</w:t>
      </w:r>
    </w:p>
    <w:p w:rsidR="00000000" w:rsidDel="00000000" w:rsidP="00000000" w:rsidRDefault="00000000" w:rsidRPr="00000000" w14:paraId="00000049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Управління командою:</w:t>
      </w:r>
    </w:p>
    <w:p w:rsidR="00000000" w:rsidDel="00000000" w:rsidP="00000000" w:rsidRDefault="00000000" w:rsidRPr="00000000" w14:paraId="0000004A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Створення та керівництво ефективними командами</w:t>
      </w:r>
    </w:p>
    <w:p w:rsidR="00000000" w:rsidDel="00000000" w:rsidP="00000000" w:rsidRDefault="00000000" w:rsidRPr="00000000" w14:paraId="0000004B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Мотивація та натхнення членів команди</w:t>
      </w:r>
    </w:p>
    <w:p w:rsidR="00000000" w:rsidDel="00000000" w:rsidP="00000000" w:rsidRDefault="00000000" w:rsidRPr="00000000" w14:paraId="0000004C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Розвиток позитивної командної культури</w:t>
      </w:r>
    </w:p>
    <w:p w:rsidR="00000000" w:rsidDel="00000000" w:rsidP="00000000" w:rsidRDefault="00000000" w:rsidRPr="00000000" w14:paraId="0000004D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Управління віддаленими та віртуальними командами</w:t>
      </w:r>
    </w:p>
    <w:p w:rsidR="00000000" w:rsidDel="00000000" w:rsidP="00000000" w:rsidRDefault="00000000" w:rsidRPr="00000000" w14:paraId="0000004E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Управління процесами:</w:t>
      </w:r>
    </w:p>
    <w:p w:rsidR="00000000" w:rsidDel="00000000" w:rsidP="00000000" w:rsidRDefault="00000000" w:rsidRPr="00000000" w14:paraId="0000004F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Розуміння та картування організаційних процесів</w:t>
      </w:r>
    </w:p>
    <w:p w:rsidR="00000000" w:rsidDel="00000000" w:rsidP="00000000" w:rsidRDefault="00000000" w:rsidRPr="00000000" w14:paraId="00000050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Впровадження стратегій покращення процесів</w:t>
      </w:r>
    </w:p>
    <w:p w:rsidR="00000000" w:rsidDel="00000000" w:rsidP="00000000" w:rsidRDefault="00000000" w:rsidRPr="00000000" w14:paraId="00000051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Моніторинг та оцінка ефективності процесів</w:t>
      </w:r>
    </w:p>
    <w:p w:rsidR="00000000" w:rsidDel="00000000" w:rsidP="00000000" w:rsidRDefault="00000000" w:rsidRPr="00000000" w14:paraId="00000052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Оптимізація робочих процесів для підвищення ефективності</w:t>
      </w:r>
    </w:p>
    <w:p w:rsidR="00000000" w:rsidDel="00000000" w:rsidP="00000000" w:rsidRDefault="00000000" w:rsidRPr="00000000" w14:paraId="00000053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Делегування:</w:t>
      </w:r>
    </w:p>
    <w:p w:rsidR="00000000" w:rsidDel="00000000" w:rsidP="00000000" w:rsidRDefault="00000000" w:rsidRPr="00000000" w14:paraId="00000054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Ефективні методи та практики делегування</w:t>
      </w:r>
    </w:p>
    <w:p w:rsidR="00000000" w:rsidDel="00000000" w:rsidP="00000000" w:rsidRDefault="00000000" w:rsidRPr="00000000" w14:paraId="00000055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Визначення завдань, придатних для делегування</w:t>
      </w:r>
    </w:p>
    <w:p w:rsidR="00000000" w:rsidDel="00000000" w:rsidP="00000000" w:rsidRDefault="00000000" w:rsidRPr="00000000" w14:paraId="00000056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Встановлення чітких очікувань та підзвітності</w:t>
      </w:r>
    </w:p>
    <w:p w:rsidR="00000000" w:rsidDel="00000000" w:rsidP="00000000" w:rsidRDefault="00000000" w:rsidRPr="00000000" w14:paraId="00000057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Забезпечення підтримки та зворотного зв'язку для делегованих завдань</w:t>
      </w:r>
    </w:p>
    <w:p w:rsidR="00000000" w:rsidDel="00000000" w:rsidP="00000000" w:rsidRDefault="00000000" w:rsidRPr="00000000" w14:paraId="00000058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Управління конфліктами:</w:t>
      </w:r>
    </w:p>
    <w:p w:rsidR="00000000" w:rsidDel="00000000" w:rsidP="00000000" w:rsidRDefault="00000000" w:rsidRPr="00000000" w14:paraId="00000059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Розпізнавання та усунення джерел конфліктів</w:t>
      </w:r>
    </w:p>
    <w:p w:rsidR="00000000" w:rsidDel="00000000" w:rsidP="00000000" w:rsidRDefault="00000000" w:rsidRPr="00000000" w14:paraId="0000005A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Стратегії вирішення конфліктів та навички ведення переговорів</w:t>
      </w:r>
    </w:p>
    <w:p w:rsidR="00000000" w:rsidDel="00000000" w:rsidP="00000000" w:rsidRDefault="00000000" w:rsidRPr="00000000" w14:paraId="0000005B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Сприяння конструктивному діалогу та медіації</w:t>
      </w:r>
    </w:p>
    <w:p w:rsidR="00000000" w:rsidDel="00000000" w:rsidP="00000000" w:rsidRDefault="00000000" w:rsidRPr="00000000" w14:paraId="0000005C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Сприяння культурі вирішення конфліктів та примирення</w:t>
      </w:r>
    </w:p>
    <w:p w:rsidR="00000000" w:rsidDel="00000000" w:rsidP="00000000" w:rsidRDefault="00000000" w:rsidRPr="00000000" w14:paraId="0000005D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Управління ризиками:</w:t>
      </w:r>
    </w:p>
    <w:p w:rsidR="00000000" w:rsidDel="00000000" w:rsidP="00000000" w:rsidRDefault="00000000" w:rsidRPr="00000000" w14:paraId="0000005E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Виявлення та оцінка організаційних ризиків</w:t>
      </w:r>
    </w:p>
    <w:p w:rsidR="00000000" w:rsidDel="00000000" w:rsidP="00000000" w:rsidRDefault="00000000" w:rsidRPr="00000000" w14:paraId="0000005F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Розробка стратегій зменшення ризиків та планів на випадок надзвичайних ситуацій</w:t>
      </w:r>
    </w:p>
    <w:p w:rsidR="00000000" w:rsidDel="00000000" w:rsidP="00000000" w:rsidRDefault="00000000" w:rsidRPr="00000000" w14:paraId="00000060">
      <w:pPr>
        <w:shd w:fill="ffffff" w:val="clear"/>
        <w:spacing w:line="256" w:lineRule="auto"/>
        <w:ind w:firstLine="425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Впровадження заходів з моніторингу та контролю ризиків</w:t>
      </w:r>
    </w:p>
    <w:p w:rsidR="00000000" w:rsidDel="00000000" w:rsidP="00000000" w:rsidRDefault="00000000" w:rsidRPr="00000000" w14:paraId="00000061">
      <w:pPr>
        <w:shd w:fill="ffffff" w:val="clear"/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       Підвищення стійкості до непередбачуваних викликів та кризових ситуацій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Отримання учасниками знань та формування навичок у форматі офлайн:</w:t>
      </w:r>
    </w:p>
    <w:p w:rsidR="00000000" w:rsidDel="00000000" w:rsidP="00000000" w:rsidRDefault="00000000" w:rsidRPr="00000000" w14:paraId="00000063">
      <w:pPr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Комунікація: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Ефективні техніки спілкування для менеджерів</w:t>
      </w:r>
    </w:p>
    <w:p w:rsidR="00000000" w:rsidDel="00000000" w:rsidP="00000000" w:rsidRDefault="00000000" w:rsidRPr="00000000" w14:paraId="00000065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Канали комунікації та зворотного зв’язку</w:t>
      </w:r>
    </w:p>
    <w:p w:rsidR="00000000" w:rsidDel="00000000" w:rsidP="00000000" w:rsidRDefault="00000000" w:rsidRPr="00000000" w14:paraId="00000066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Активне слухання та емпатійне спілкування</w:t>
      </w:r>
    </w:p>
    <w:p w:rsidR="00000000" w:rsidDel="00000000" w:rsidP="00000000" w:rsidRDefault="00000000" w:rsidRPr="00000000" w14:paraId="00000067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Проведення продуктивних зустрічей та обговорень</w:t>
      </w:r>
    </w:p>
    <w:p w:rsidR="00000000" w:rsidDel="00000000" w:rsidP="00000000" w:rsidRDefault="00000000" w:rsidRPr="00000000" w14:paraId="00000068">
      <w:pPr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Побудова взаєморозуміння та довіри з членами команди</w:t>
      </w:r>
    </w:p>
    <w:p w:rsidR="00000000" w:rsidDel="00000000" w:rsidP="00000000" w:rsidRDefault="00000000" w:rsidRPr="00000000" w14:paraId="00000069">
      <w:pPr>
        <w:spacing w:after="160" w:line="256" w:lineRule="auto"/>
        <w:ind w:firstLine="425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Зворотний зв'язок:</w:t>
      </w:r>
    </w:p>
    <w:p w:rsidR="00000000" w:rsidDel="00000000" w:rsidP="00000000" w:rsidRDefault="00000000" w:rsidRPr="00000000" w14:paraId="0000006A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Надання та отримання конструктивного зворотного зв'язку</w:t>
      </w:r>
    </w:p>
    <w:p w:rsidR="00000000" w:rsidDel="00000000" w:rsidP="00000000" w:rsidRDefault="00000000" w:rsidRPr="00000000" w14:paraId="0000006B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Механізми зворотного зв'язку для підвищення ефективності</w:t>
      </w:r>
    </w:p>
    <w:p w:rsidR="00000000" w:rsidDel="00000000" w:rsidP="00000000" w:rsidRDefault="00000000" w:rsidRPr="00000000" w14:paraId="0000006C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Створення культури безперервного зворотного зв'язку та навчання</w:t>
      </w:r>
    </w:p>
    <w:p w:rsidR="00000000" w:rsidDel="00000000" w:rsidP="00000000" w:rsidRDefault="00000000" w:rsidRPr="00000000" w14:paraId="0000006D">
      <w:pPr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Тактовно і делікатно вести складні розмови про зворотний зв'язок</w:t>
      </w:r>
    </w:p>
    <w:p w:rsidR="00000000" w:rsidDel="00000000" w:rsidP="00000000" w:rsidRDefault="00000000" w:rsidRPr="00000000" w14:paraId="0000006E">
      <w:pPr>
        <w:spacing w:after="160" w:line="256" w:lineRule="auto"/>
        <w:ind w:firstLine="425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Прийняття рішень:</w:t>
      </w:r>
    </w:p>
    <w:p w:rsidR="00000000" w:rsidDel="00000000" w:rsidP="00000000" w:rsidRDefault="00000000" w:rsidRPr="00000000" w14:paraId="0000006F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Принципи та підходи до прийняття стратегічних рішень</w:t>
      </w:r>
    </w:p>
    <w:p w:rsidR="00000000" w:rsidDel="00000000" w:rsidP="00000000" w:rsidRDefault="00000000" w:rsidRPr="00000000" w14:paraId="00000070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Аналіз даних та інформації для прийняття обґрунтованих рішень</w:t>
      </w:r>
    </w:p>
    <w:p w:rsidR="00000000" w:rsidDel="00000000" w:rsidP="00000000" w:rsidRDefault="00000000" w:rsidRPr="00000000" w14:paraId="00000071">
      <w:pPr>
        <w:spacing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Оцінка ризиків та зважування альтернатив</w:t>
      </w:r>
    </w:p>
    <w:p w:rsidR="00000000" w:rsidDel="00000000" w:rsidP="00000000" w:rsidRDefault="00000000" w:rsidRPr="00000000" w14:paraId="00000072">
      <w:pPr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-        Досягнення консенсусу та сприяння залученню зацікавлених сторін до процесів прийняття рішень</w:t>
      </w:r>
    </w:p>
    <w:p w:rsidR="00000000" w:rsidDel="00000000" w:rsidP="00000000" w:rsidRDefault="00000000" w:rsidRPr="00000000" w14:paraId="0000007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Індивідуальний менторинг (наставництво):</w:t>
      </w:r>
    </w:p>
    <w:p w:rsidR="00000000" w:rsidDel="00000000" w:rsidP="00000000" w:rsidRDefault="00000000" w:rsidRPr="00000000" w14:paraId="00000074">
      <w:pPr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Індивідуальні наставницькі сесії для кожного учасника, спрямовані на застосування концепцій та методів, вивчених під час тренінгу, до їхніх конкретних ролей та викликів.</w:t>
      </w:r>
    </w:p>
    <w:p w:rsidR="00000000" w:rsidDel="00000000" w:rsidP="00000000" w:rsidRDefault="00000000" w:rsidRPr="00000000" w14:paraId="00000075">
      <w:pPr>
        <w:spacing w:after="160" w:line="256" w:lineRule="auto"/>
        <w:ind w:firstLine="42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Надання індивідуальних рекомендацій та підтримки з питань управління командою, оптимізації процесів, вирішення конфліктів, комунікаційних стратегій та прийняття рішень.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6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Результат навчання: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Формування навичок учасників тренінгу щодо успішного управління командою, управління процесами, делегування, управління процесами та ризиками, комунікації з членам команди та надання зворотнього звʼязку для забезпечення ефективної та успішної діяльності Фонду та надання якісних послуг бенефіціарам. </w:t>
      </w:r>
    </w:p>
    <w:p w:rsidR="00000000" w:rsidDel="00000000" w:rsidP="00000000" w:rsidRDefault="00000000" w:rsidRPr="00000000" w14:paraId="00000077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78">
      <w:pPr>
        <w:spacing w:after="160" w:line="259" w:lineRule="auto"/>
        <w:ind w:left="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*В тендері можуть приймати участь юридичні особи або фізичні особи-підприємці, маючи відповідні КВЕДи на надання освітніх послуг.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юридична особи або фізична особа-підприємець з наявністю відгуків щодо надання послуг;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практичний досвід у сфері проведення тренінгів для управлінців та надання сервісів від 2 років;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досвід надання послуг з управління благодійним фондам, соціальним проектам не менше 2 років;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кваліфіковані тренери (тренерський досвід - від 5 років), які викладають в освітній установі, досвідчені у визначеній тематиці та мають позитивні відгуки.</w:t>
      </w:r>
    </w:p>
    <w:p w:rsidR="00000000" w:rsidDel="00000000" w:rsidP="00000000" w:rsidRDefault="00000000" w:rsidRPr="00000000" w14:paraId="0000007D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Завдання  виконавця: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розробити pre- та post- анкетування для виявлення рівня засвоєння поданого матеріалу учасниками тренінгу;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розробити та надати план онлайн-тренінгів за визначеними темами (теоретична частина, практичні завдання для самостійної роботи протягом місяця, форма зворотнього звʼязку);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розробити та надати план офлайн-тренінгів за визначеними темами;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прописати таймінг тренінгів;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скласти та надати програму тренінгів;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провести моніторинг та оцінку ефективності тренінгів та скласти відповідний звіт;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прописати таймінг індивідуальних консультацій;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надати визначені освітні послуги високої якості учасникам;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запис теоретичних частин тренінгів і проведення їх на платформі Зум.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sz w:val="22"/>
          <w:szCs w:val="22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ff9900" w:val="clear"/>
          <w:rtl w:val="0"/>
        </w:rPr>
        <w:t xml:space="preserve">Заявка має містити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ff9900" w:val="clear"/>
          <w:rtl w:val="0"/>
        </w:rPr>
        <w:t xml:space="preserve">: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Заповнений Annex A з відповідями на питання ТАК\НІ;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Заповнений Annex B з ціновою пропозицією;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Контактна інформація освітньої установи;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Короткий опис програми онлайн- та офлайн-тренінгів з запропонованою програмою та викладачами, які можуть реалізувати програму;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Опис досвіду роботи, включаючи інформацію про попередній дотичний досвід (мінімум 2 роки), в тому числі досвід у проведенні тренінгів на зазначену тематику;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Підтвердження досвіду роботи з неурядовими організаціями (</w:t>
      </w:r>
      <w:r w:rsidDel="00000000" w:rsidR="00000000" w:rsidRPr="00000000">
        <w:rPr>
          <w:rFonts w:ascii="Calibri" w:cs="Calibri" w:eastAsia="Calibri" w:hAnsi="Calibri"/>
          <w:color w:val="1f1f1f"/>
          <w:sz w:val="22"/>
          <w:szCs w:val="22"/>
          <w:highlight w:val="white"/>
          <w:rtl w:val="0"/>
        </w:rPr>
        <w:t xml:space="preserve">Будь ласка, додайте 2-3 договори або підтверджуючі документи (акти виконаних робіт/вид.накладні)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Підтвердження досвіду проведення групового та індивідуального менторства на зазначену тематику (Будь ласка, додайте рекомендаційні листи або відгуки);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Реєстраційні документи.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360" w:firstLine="0"/>
        <w:rPr>
          <w:rFonts w:ascii="Calibri" w:cs="Calibri" w:eastAsia="Calibri" w:hAnsi="Calibri"/>
          <w:color w:val="ff0000"/>
          <w:sz w:val="22"/>
          <w:szCs w:val="22"/>
          <w:u w:val="single"/>
        </w:rPr>
      </w:pPr>
      <w:bookmarkStart w:colFirst="0" w:colLast="0" w:name="_heading=h.gjdgxs" w:id="7"/>
      <w:bookmarkEnd w:id="7"/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u w:val="single"/>
          <w:rtl w:val="0"/>
        </w:rPr>
        <w:t xml:space="preserve">Просимо організувати попередню зустріч онлайн перед подачею пропозиції.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Просимо вказувати вартість 1 години кожного виду послуг та загальну вартість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вартість 1 години онлайн-тренінгу;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вартість 1 години офлайн-тренінгу;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вартість 1 години індивідуального онлайн-менторства;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вартість складання анкет (вхідне та вихідне анкетування учасників навчання) і підготовки навчальних матеріалів (презентації, домашні завдання тощо);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вартість підготовки звіту (звіт про пророблену роботу та подальші рекомендації).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b w:val="1"/>
          <w:sz w:val="22"/>
          <w:szCs w:val="22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ff9900" w:val="clear"/>
          <w:rtl w:val="0"/>
        </w:rPr>
        <w:t xml:space="preserve">Критеріями визначення переможця будуть: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Досвід розробки та проведення тренінгів з управління та надання сервісів в онлайн та офлайн-форматах; (макс 15 балів)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Досвід групового та індивідуального менторингу; (макс 10 балів)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Практичний досвід співпраці із представниками гуманітарних організацій;(макс 15 балів)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Зваженість та системний комплексний підхід у запропонованому варіанті вирішення конкурсного завдання (Запропонована програма);(макс 30 балів)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Реалістичність та збалансованість бюджету. (макс 30 балів)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БФ «Право на захист» залишає за собою право на уточнення завдань та годин тренінгових сесій в процесі переговорів з переможцем конкурсу.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ВАЖЛИВО:</w:t>
      </w:r>
    </w:p>
    <w:p w:rsidR="00000000" w:rsidDel="00000000" w:rsidP="00000000" w:rsidRDefault="00000000" w:rsidRPr="00000000" w14:paraId="000000A1">
      <w:pPr>
        <w:spacing w:after="160" w:line="259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Фінансову пропозицію (Додаток В) та технічну пропозицію (Додаток A та супутні документи) необхідно надіслати двома окремими листами на пошту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tender@r2p.org.ua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A2">
      <w:pPr>
        <w:spacing w:after="160" w:line="259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Тобто,</w:t>
      </w:r>
    </w:p>
    <w:p w:rsidR="00000000" w:rsidDel="00000000" w:rsidP="00000000" w:rsidRDefault="00000000" w:rsidRPr="00000000" w14:paraId="000000A3">
      <w:pPr>
        <w:spacing w:after="160" w:line="259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перший лист (Технічна пропозиція), що включає в себе Додаток А та супутні додаткові документи;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другий лист (Фінансова пропозиція), що включає в себе лише Додаток В.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Пропозиції приймаються до 23:59, 02 квітня 2024 р. на пошту </w:t>
      </w:r>
      <w:hyperlink r:id="rId13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tender@r2p.org.ua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whit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Щодо уточнень по технічному опису просимо звертатися до Тетяни Калініченко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highlight w:val="white"/>
            <w:u w:val="single"/>
            <w:rtl w:val="0"/>
          </w:rPr>
          <w:t xml:space="preserve">t.kalinichenko@r2p.org.ua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Щодо оформлення та подання пропозиції просимо звертатися до Юлії Молошної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y.moloshna@r2p.org.ua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або за номером +380959121823.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Розгляд та оцінка конкурсних заявок здійснюватиметься Комісією. Про результати конкурсу переможця буде повідомлено окремо.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Дякуємо за співпрацю!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3" w:left="184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Antiqu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tiqua" w:cs="Antiqua" w:eastAsia="Antiqua" w:hAnsi="Antiqua"/>
        <w:sz w:val="26"/>
        <w:szCs w:val="2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2p.org.ua/" TargetMode="External"/><Relationship Id="rId10" Type="http://schemas.openxmlformats.org/officeDocument/2006/relationships/image" Target="media/image2.png"/><Relationship Id="rId13" Type="http://schemas.openxmlformats.org/officeDocument/2006/relationships/hyperlink" Target="mailto:tender@r2p.org.ua" TargetMode="External"/><Relationship Id="rId12" Type="http://schemas.openxmlformats.org/officeDocument/2006/relationships/hyperlink" Target="mailto:tender@r2p.org.u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2p.org.ua/" TargetMode="External"/><Relationship Id="rId15" Type="http://schemas.openxmlformats.org/officeDocument/2006/relationships/hyperlink" Target="mailto:y.moloshna@r2p.org.ua" TargetMode="External"/><Relationship Id="rId14" Type="http://schemas.openxmlformats.org/officeDocument/2006/relationships/hyperlink" Target="mailto:t.kalinichenko@r2p.org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2p@r2p.org.u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Q3bZLcb3cT+v0Hzx1Vap6b07Q==">CgMxLjAyDmgubnNlYnVoa2tsdnpoMg5oLmlvZnI3Z2k1NjZyejIOaC5xYXcyenE2c29mODAyDmguYTk5dnV1Z3ZnZDkzMg5oLmowZjh5NnFpY2RnajIOaC5uemswNnZ0MnNveGQyDmgubHdhb2s4OGt5cnlsMghoLmdqZGd4czgAciExallyZTBVU1JFaE5uYlpkUHJXVERqWEpvbkIxWlg3S3I=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2024-03-15T12:16:00Z</dcterms:created>
</cp:coreProperties>
</file>