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07 лютого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2025 р.</w:t>
      </w:r>
    </w:p>
    <w:p w:rsidR="00000000" w:rsidDel="00000000" w:rsidP="00000000" w:rsidRDefault="00000000" w:rsidRPr="00000000" w14:paraId="00000002">
      <w:pPr>
        <w:widowControl w:val="1"/>
        <w:spacing w:after="200" w:line="240" w:lineRule="auto"/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послуг консультування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на тему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«Бухгалтерські аспекти роботи ФОП»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5">
      <w:pPr>
        <w:widowControl w:val="0"/>
        <w:spacing w:after="240" w:before="240" w:line="25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онлайн консультації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на тему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«Бухгалтерські аспекти роботи ФОП»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Консультування спрямоване на посилення економічної спроможності населення у мікропідприємництві.</w:t>
      </w:r>
    </w:p>
    <w:p w:rsidR="00000000" w:rsidDel="00000000" w:rsidP="00000000" w:rsidRDefault="00000000" w:rsidRPr="00000000" w14:paraId="00000006">
      <w:pPr>
        <w:widowControl w:val="0"/>
        <w:spacing w:after="0" w:line="25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Формат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онлайн</w:t>
      </w:r>
    </w:p>
    <w:p w:rsidR="00000000" w:rsidDel="00000000" w:rsidP="00000000" w:rsidRDefault="00000000" w:rsidRPr="00000000" w14:paraId="00000007">
      <w:pPr>
        <w:widowControl w:val="0"/>
        <w:spacing w:after="0" w:line="25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онлайн </w:t>
      </w:r>
    </w:p>
    <w:p w:rsidR="00000000" w:rsidDel="00000000" w:rsidP="00000000" w:rsidRDefault="00000000" w:rsidRPr="00000000" w14:paraId="00000008">
      <w:pPr>
        <w:widowControl w:val="0"/>
        <w:spacing w:after="0" w:line="256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Дати проведення консультування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01.03.2025 р. - 31.12.2025, 10 місяців 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Київська область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Детальний опис: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Кількість консультацій:  200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Тривалість однієї консультації:  1 година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Консультування відбуватиметься відповідно до запитів бенефіціарів, тому можливе нерівномірне розподілення навантаження помісячно (орієнтовна щомісячна кількість консультацій - 20).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Завдання: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провести індивідуальні консультації щодо коректного вибору форми реєстрації юридичної особи чи фізичної особи-підприємця, включаючи вибір КВЕДів, групи сплати податків тощо. Надати консультації щодо ведення бухгалтерського обліку підприємницької діяльності на прикладі розроблених учасниками бізнес-моделей. Консультування відбувається, виходячи із питань  та запитів учасників. 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 і підпадають щонайменше під один з критеріїв: ВПО, одинокі / багатодітні батьки, особи з інвалідністю, постраждалі від воєнних дій (особисто чи у підприємництві), жінки та ін.). </w:t>
      </w:r>
    </w:p>
    <w:p w:rsidR="00000000" w:rsidDel="00000000" w:rsidP="00000000" w:rsidRDefault="00000000" w:rsidRPr="00000000" w14:paraId="00000014">
      <w:pPr>
        <w:widowControl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Мета консультацій: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навчити учасників консультацій здійснювати бухгалтерський облік для ФОП та звітування щодо підприємницької діяльності відповідно до вимог українського законодавства, а також розібратися в різних формах реєстрації юридичних та фізичних осіб-підприємців.</w:t>
      </w:r>
    </w:p>
    <w:p w:rsidR="00000000" w:rsidDel="00000000" w:rsidP="00000000" w:rsidRDefault="00000000" w:rsidRPr="00000000" w14:paraId="00000016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Результат консультування: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учасники отримали практичні поради та допомогу зі своїх питань з бухгалтерського обліку та реєстрації форми підприємницької діяльності, навчились самостійно вирішувати питання, що виникають з приводу бухгалтерського обліку.</w:t>
      </w:r>
    </w:p>
    <w:p w:rsidR="00000000" w:rsidDel="00000000" w:rsidP="00000000" w:rsidRDefault="00000000" w:rsidRPr="00000000" w14:paraId="00000018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after="0" w:lineRule="auto"/>
        <w:ind w:left="4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Експертиза та практичний досвід роботи з веденням бухгалтерського обліку для ФОП;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lineRule="auto"/>
        <w:ind w:left="4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досвід консультування підприємців; 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lineRule="auto"/>
        <w:ind w:left="4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бажаний досвід співпраці з благодійними фондами та соціальними проектами стане перевагою;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lineRule="auto"/>
        <w:ind w:left="4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освіта вища.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00" w:line="25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Умови співпраці</w:t>
      </w:r>
    </w:p>
    <w:p w:rsidR="00000000" w:rsidDel="00000000" w:rsidP="00000000" w:rsidRDefault="00000000" w:rsidRPr="00000000" w14:paraId="00000020">
      <w:pPr>
        <w:widowControl w:val="0"/>
        <w:spacing w:after="0" w:line="256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21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робочих днів з дати підписання Акту виконаних робіт.  Акт виконаних робіт має бути поданий кожного місяця, протягом 7 днів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станом на перше число кожного місяця відповідно до кількості наданих консультацій за звітний період.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23">
      <w:pPr>
        <w:widowControl w:val="0"/>
        <w:spacing w:after="0" w:line="276" w:lineRule="auto"/>
        <w:ind w:firstLine="70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</w:p>
    <w:p w:rsidR="00000000" w:rsidDel="00000000" w:rsidP="00000000" w:rsidRDefault="00000000" w:rsidRPr="00000000" w14:paraId="00000024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25">
      <w:pPr>
        <w:widowControl w:val="0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контактну інформацію організації/ консультанта;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консультанта, досвід роботи, включаючи інформацію про попередній дотичний досвід, в тому числі досвід у проведенні тренінгів чи консультування бізнесів за даною темою, досвід роботи з веденням бухгалтерського обліку для ФОП, а також досвід роботи із благодійними організаціями.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вартість однієї консультації і загальну вартість за 200 консультацій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організації/ФОП (виписка, витяг) для укладання договору.</w:t>
      </w:r>
    </w:p>
    <w:p w:rsidR="00000000" w:rsidDel="00000000" w:rsidP="00000000" w:rsidRDefault="00000000" w:rsidRPr="00000000" w14:paraId="0000002B">
      <w:pPr>
        <w:widowControl w:val="0"/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Кваліфікація консультанта,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Досвід проведення подібних консультацій чи тренінгів, на зазначену тематику зокрема;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31">
      <w:pPr>
        <w:widowControl w:val="0"/>
        <w:spacing w:after="0" w:line="25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Пропозиція повинна бути складена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українською мовою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1"/>
        <w:tblW w:w="99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5"/>
        <w:gridCol w:w="3225"/>
        <w:gridCol w:w="4920"/>
        <w:gridCol w:w="1485"/>
        <w:tblGridChange w:id="0">
          <w:tblGrid>
            <w:gridCol w:w="345"/>
            <w:gridCol w:w="3225"/>
            <w:gridCol w:w="4920"/>
            <w:gridCol w:w="14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20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10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Досвід консультування приватного бізнесу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 балів  -  учасник має досвід консультування приватного бізнесу більше 1 року, розуміється на наданні послуг такого характеру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 балів - учасник розуміється на наданні послуг консультування, але таку діяльність здійснює менше 1 року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 балів – учасник не має досвіду консультування приватного бізнесу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Досвід роботи з благодійними організаціями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балів  - учасник має досвід роботи з благодійними організаціями більше 1 року, розуміє принципи гуманітарної роботи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балів - учасник учасник має досвід роботи з благодійними організаціями менше 1 року, розуміє принципи гуманітарної роботи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00" w:line="25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 балів - учасник не має досвіду аналогічної роботи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200" w:line="25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200" w:line="25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jc w:val="both"/>
        <w:rPr>
          <w:rFonts w:ascii="Arial" w:cs="Arial" w:eastAsia="Arial" w:hAnsi="Arial"/>
          <w:b w:val="1"/>
          <w:color w:val="0000ff"/>
          <w:sz w:val="20"/>
          <w:szCs w:val="20"/>
          <w:highlight w:val="white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деталей проведення консультацій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просимо звертатися до Олени Шилобрид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o.shylobryd@r2p.org.ua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jc w:val="both"/>
        <w:rPr>
          <w:rFonts w:ascii="Arial" w:cs="Arial" w:eastAsia="Arial" w:hAnsi="Arial"/>
          <w:b w:val="1"/>
          <w:color w:val="0000ff"/>
          <w:sz w:val="20"/>
          <w:szCs w:val="20"/>
          <w:highlight w:val="white"/>
        </w:rPr>
      </w:pPr>
      <w:bookmarkStart w:colFirst="0" w:colLast="0" w:name="_heading=h.brttu7vvq37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-529579</wp:posOffset>
          </wp:positionH>
          <wp:positionV relativeFrom="paragraph">
            <wp:posOffset>-85079</wp:posOffset>
          </wp:positionV>
          <wp:extent cx="1771650" cy="89090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0"/>
      <w:numFmt w:val="bullet"/>
      <w:lvlText w:val="-"/>
      <w:lvlJc w:val="left"/>
      <w:pPr>
        <w:ind w:left="4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1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3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0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.shylobryd@r2p.org.u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2rTnx2ly7hgHOwf+lCLAJag4Q==">CgMxLjAyCGguZ2pkZ3hzMgloLjFmb2I5dGUyCWguMzBqMHpsbDIOaC5icnR0dTd2dnEzNzk4AHIhMW9jek1FMEYzb1BRdk11SjFJWGJ2SzVuUG5xdTZRcFph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2024-01-10T12:11:00Z</dcterms:created>
  <dc:creator>Lenovo</dc:creator>
</cp:coreProperties>
</file>