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426"/>
        <w:jc w:val="center"/>
        <w:rPr>
          <w:rFonts w:ascii="Century Gothic" w:cs="Century Gothic" w:eastAsia="Century Gothic" w:hAnsi="Century Gothic"/>
          <w:b w:val="1"/>
          <w:color w:val="2b333d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b333d"/>
          <w:sz w:val="18"/>
          <w:szCs w:val="18"/>
          <w:rtl w:val="0"/>
        </w:rPr>
        <w:t xml:space="preserve">БРИФ НА СТВОРЕННЯ ВІДЕОМАТЕРІАЛІВ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426"/>
        <w:jc w:val="center"/>
        <w:rPr>
          <w:rFonts w:ascii="Century Gothic" w:cs="Century Gothic" w:eastAsia="Century Gothic" w:hAnsi="Century Gothic"/>
          <w:b w:val="1"/>
          <w:color w:val="2b333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4.0" w:type="dxa"/>
        <w:jc w:val="left"/>
        <w:tblInd w:w="-431.0" w:type="dxa"/>
        <w:tblBorders>
          <w:top w:color="2b333d" w:space="0" w:sz="4" w:val="single"/>
          <w:left w:color="2b333d" w:space="0" w:sz="4" w:val="single"/>
          <w:bottom w:color="2b333d" w:space="0" w:sz="4" w:val="single"/>
          <w:right w:color="2b333d" w:space="0" w:sz="4" w:val="single"/>
          <w:insideH w:color="2b333d" w:space="0" w:sz="4" w:val="single"/>
          <w:insideV w:color="2b333d" w:space="0" w:sz="4" w:val="single"/>
        </w:tblBorders>
        <w:tblLayout w:type="fixed"/>
        <w:tblLook w:val="0000"/>
      </w:tblPr>
      <w:tblGrid>
        <w:gridCol w:w="3540"/>
        <w:gridCol w:w="6384"/>
        <w:tblGridChange w:id="0">
          <w:tblGrid>
            <w:gridCol w:w="3540"/>
            <w:gridCol w:w="638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Клієнт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БФ «Право на захист»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Найменування твору, що створюється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u w:val="single"/>
                <w:rtl w:val="0"/>
              </w:rPr>
              <w:t xml:space="preserve">наприклад: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 рекламний ролик, соціальний ролик, презентаційний фільм, спонсорський ролик, спонсорська плашка, спонсорський логотип тощо)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Соціальний ролик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Тематика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Антистигматизація, Інтеграція ВПО, Мотивація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Кількість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i w:val="1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1 відео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Візуальне вирішення (гральний/графічний ролик)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зйомка, класична соціальна реклама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Хронометраж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i w:val="1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  <w:rtl w:val="0"/>
              </w:rPr>
              <w:t xml:space="preserve">до 1 хв.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2b333d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Місце трансляції/в якій програмі якого телеканалу виходитиме вироблений продукт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YouTube, Соц. Мережі (ФБ), веб-ТВ, можливо ТБ та indoor відео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Мета рекламної кампанії +головний маркетинговий меседж матеріалів, що створюються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Цим відео ми хочемо замотивувати ВПО інтегруватися на новому місці, конкретніше – переїжджати з місць, до яких вони дуже звикли та в яких живуть “общинами” – з компактного поселення, гуртожитків, санаторіїв, від родичів у орендоване житло. Заохотити ВПО мати свій особистий простір та кращі умови проживання. Мотивувати до переїзду, з одного боку. А з іншого – наскільки це можливо – нівелювати їхні страхи, сумніви й упередження щодо доцільності переїзду.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Також, що дуже важливо, ми маємо працювати проти стигматизації, яка процвітає на ринку оренди житла – орендодавці можуть не здавати житло переселенцям (особливо з деяких регіонів), або висувати нездорові умови (дорожча ціна, додатковий страховий платіж, ставлення тощо).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Як результат: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з одного боку людина, ВПО, яка проживає в МКП, хоче нарешті переїхати у комфортне житло, яке дасть особистий простір та належні умови проживання її сім’ї, буде шукати роботу, щоб мати стабільний дохід та незалежність від державної та міжнародної допомоги.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З іншого – здоровий ринок оренди, коли орендодавці не відрізняють ВПО серед інших потенційних орендарів, не висувають екстра умови.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  <w:rtl w:val="0"/>
              </w:rPr>
              <w:t xml:space="preserve">Координати представника замовника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  <w:rtl w:val="0"/>
              </w:rPr>
              <w:t xml:space="preserve">Тетяна Луніна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  <w:rtl w:val="0"/>
              </w:rPr>
              <w:t xml:space="preserve">t.lunina@r2p.org.ua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  <w:rtl w:val="0"/>
              </w:rPr>
              <w:t xml:space="preserve">+380684086806</w:t>
            </w:r>
          </w:p>
        </w:tc>
      </w:tr>
    </w:tbl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entury Gothic" w:cs="Century Gothic" w:eastAsia="Century Gothic" w:hAnsi="Century Gothic"/>
          <w:b w:val="1"/>
          <w:color w:val="2b333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4.0" w:type="dxa"/>
        <w:jc w:val="left"/>
        <w:tblInd w:w="-431.0" w:type="dxa"/>
        <w:tblBorders>
          <w:top w:color="2b333d" w:space="0" w:sz="4" w:val="single"/>
          <w:left w:color="2b333d" w:space="0" w:sz="4" w:val="single"/>
          <w:bottom w:color="2b333d" w:space="0" w:sz="4" w:val="single"/>
          <w:right w:color="2b333d" w:space="0" w:sz="4" w:val="single"/>
          <w:insideH w:color="2b333d" w:space="0" w:sz="4" w:val="single"/>
          <w:insideV w:color="2b333d" w:space="0" w:sz="4" w:val="single"/>
        </w:tblBorders>
        <w:tblLayout w:type="fixed"/>
        <w:tblLook w:val="0000"/>
      </w:tblPr>
      <w:tblGrid>
        <w:gridCol w:w="3545"/>
        <w:gridCol w:w="6379"/>
        <w:tblGridChange w:id="0">
          <w:tblGrid>
            <w:gridCol w:w="3545"/>
            <w:gridCol w:w="637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1d5eac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Century Gothic" w:cs="Century Gothic" w:eastAsia="Century Gothic" w:hAnsi="Century Gothic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  <w:rtl w:val="0"/>
              </w:rPr>
              <w:t xml:space="preserve">ОПИС БРЕНДУ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Організація / Бренд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Благодійний фонд “Право на захист” у співпраці з УВКБ ООН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Царина діяльності компанії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Юридична, психологічна, матеріальна грошова та негрошова допомога ВПО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Сайт бренду/компанії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sz w:val="18"/>
                  <w:szCs w:val="18"/>
                  <w:u w:val="single"/>
                  <w:rtl w:val="0"/>
                </w:rPr>
                <w:t xml:space="preserve">Сайт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sz w:val="18"/>
                  <w:szCs w:val="18"/>
                  <w:u w:val="single"/>
                  <w:rtl w:val="0"/>
                </w:rPr>
                <w:t xml:space="preserve">ФБ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, </w:t>
            </w:r>
            <w:hyperlink r:id="rId9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sz w:val="18"/>
                  <w:szCs w:val="18"/>
                  <w:u w:val="single"/>
                  <w:rtl w:val="0"/>
                </w:rPr>
                <w:t xml:space="preserve">Інстаграм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Цільова аудиторія бренду/рекламної кампанії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Загалом: постраждалі від воєнних дій, зокрема й  ВПО, без обмеження по віку і статі.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  <w:rtl w:val="0"/>
              </w:rPr>
              <w:t xml:space="preserve">Для цієї кампанії: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ВПО, які проживають у гуртожитках, шелтерах, у родичів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Орендодавці</w:t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entury Gothic" w:cs="Century Gothic" w:eastAsia="Century Gothic" w:hAnsi="Century Gothic"/>
          <w:b w:val="1"/>
          <w:color w:val="2b333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entury Gothic" w:cs="Century Gothic" w:eastAsia="Century Gothic" w:hAnsi="Century Gothic"/>
          <w:b w:val="1"/>
          <w:color w:val="2b333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431.0" w:type="dxa"/>
        <w:tblBorders>
          <w:top w:color="2b333d" w:space="0" w:sz="4" w:val="single"/>
          <w:left w:color="2b333d" w:space="0" w:sz="4" w:val="single"/>
          <w:bottom w:color="2b333d" w:space="0" w:sz="4" w:val="single"/>
          <w:right w:color="2b333d" w:space="0" w:sz="4" w:val="single"/>
          <w:insideH w:color="2b333d" w:space="0" w:sz="4" w:val="single"/>
          <w:insideV w:color="2b333d" w:space="0" w:sz="4" w:val="single"/>
        </w:tblBorders>
        <w:tblLayout w:type="fixed"/>
        <w:tblLook w:val="0000"/>
      </w:tblPr>
      <w:tblGrid>
        <w:gridCol w:w="3545"/>
        <w:gridCol w:w="6379"/>
        <w:tblGridChange w:id="0">
          <w:tblGrid>
            <w:gridCol w:w="3545"/>
            <w:gridCol w:w="637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1d5eac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Century Gothic" w:cs="Century Gothic" w:eastAsia="Century Gothic" w:hAnsi="Century Gothic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  <w:rtl w:val="0"/>
              </w:rPr>
              <w:t xml:space="preserve">ОПИС МАТЕРІАЛІВ, ЩО СТВОРЮЮТЬСЯ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Ідея/побажання (якщо є)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Ми хочемо аби відео викликало емпатію у глядача.  Можливо, люди впізнають себе в ньому.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i w:val="1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2b333d"/>
                <w:sz w:val="18"/>
                <w:szCs w:val="18"/>
                <w:rtl w:val="0"/>
              </w:rPr>
              <w:t xml:space="preserve">*це відео має бути актуальним на період рік так більше.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Референс – </w:t>
            </w:r>
            <w:hyperlink r:id="rId10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sz w:val="18"/>
                  <w:szCs w:val="18"/>
                  <w:u w:val="single"/>
                  <w:rtl w:val="0"/>
                </w:rPr>
                <w:t xml:space="preserve">https://www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.youtube.com/watch?v=4AC_9FSQxqI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Слоґан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Ваша пропозиція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Обов’язкові елементи в кадрі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пекшот з лого БФ “Право на захист” та партнера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Обов’язковий текст у кадрі (слоґан, тощо)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Можливо, щось на зразок “Поділись цим відео з друзями та близькими”. Ідеї, пропозиції вітаються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1d5eac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  <w:rtl w:val="0"/>
              </w:rPr>
              <w:t xml:space="preserve">СТИЛІСТИКА МАТЕРІАЛІВ, ЩО СТВОРЮЮТЬСЯ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Музичний  супровід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рекомендація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Звуковий супровід (текст начитування диктора та мова начитування)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диктор, українська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Образи, емоції, стиль (якщо є)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тепле відео, яке з однієї сторони викликає емпатію, бажання підтримати, допомогти. З іншої – мотивацію змінити життя на краще: переїхати в квартиру, шукати роботу, стати самостійним та впевненим у своєму майбутньому.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Побажання щодо акторів (селебреті, невідомі, вік, стиль, тощо)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актори не мають становити репутаційних ризиків для організації</w:t>
            </w:r>
          </w:p>
        </w:tc>
      </w:tr>
    </w:tbl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entury Gothic" w:cs="Century Gothic" w:eastAsia="Century Gothic" w:hAnsi="Century Gothic"/>
          <w:color w:val="2b333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4.0" w:type="dxa"/>
        <w:jc w:val="left"/>
        <w:tblInd w:w="-431.0" w:type="dxa"/>
        <w:tblBorders>
          <w:top w:color="2b333d" w:space="0" w:sz="4" w:val="single"/>
          <w:left w:color="2b333d" w:space="0" w:sz="4" w:val="single"/>
          <w:bottom w:color="2b333d" w:space="0" w:sz="4" w:val="single"/>
          <w:right w:color="2b333d" w:space="0" w:sz="4" w:val="single"/>
          <w:insideH w:color="2b333d" w:space="0" w:sz="4" w:val="single"/>
          <w:insideV w:color="2b333d" w:space="0" w:sz="4" w:val="single"/>
        </w:tblBorders>
        <w:tblLayout w:type="fixed"/>
        <w:tblLook w:val="0000"/>
      </w:tblPr>
      <w:tblGrid>
        <w:gridCol w:w="3545"/>
        <w:gridCol w:w="6379"/>
        <w:tblGridChange w:id="0">
          <w:tblGrid>
            <w:gridCol w:w="3545"/>
            <w:gridCol w:w="637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1d5eac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Century Gothic" w:cs="Century Gothic" w:eastAsia="Century Gothic" w:hAnsi="Century Gothic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  <w:rtl w:val="0"/>
              </w:rPr>
              <w:t xml:space="preserve">МАТЕРІАЛИ, ЩО Є В НАЯВНОСТІ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Надані вихідні матеріали (логотип у векторі .ai, брендбук, шрифт)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Логотипи БФ та партнера УВКБ ООН, гайди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  <w:rtl w:val="0"/>
              </w:rPr>
              <w:t xml:space="preserve">ОРГАНІЗАЦІЙНІ МОМЕНТИ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Узгодження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Обов’язкове узгодження з партнером та БФ на етапах: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текстового варіанту ідей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сторіборд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підбору акторів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фінального відеоматеріалу + айдентики БФ та партнера у ролику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Додатково. Можуть бути правки – мінімум 3 кола коментарів команди та партнера на кожному з етапів.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  <w:u w:val="single"/>
                <w:rtl w:val="0"/>
              </w:rPr>
              <w:t xml:space="preserve">Обов’язкова зустріч-брифінг перед початком роботи над тендерною пропозицією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(про зустріч можна домовитися з Тетяною Луніною t.lunina@r2p.org.ua +380684086806)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Якщо є, можливі обмеження майнових прав інтелектуальної власності, які передають Замовникові, термін дії, територія дії майнових прав і способи використання Творів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Маємо отримати повні права на відео, аби безперешкодно поширювати його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Дата заповнення брифа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09.10.2023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Планова дата початку співпраці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Початок листопада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Планова дата здачі матеріалів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18"/>
                <w:szCs w:val="18"/>
                <w:rtl w:val="0"/>
              </w:rPr>
              <w:t xml:space="preserve">До кінця грудня</w:t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9" w:w="11907" w:orient="portrait"/>
      <w:pgMar w:bottom="426" w:top="1276" w:left="1276" w:right="992" w:header="142" w:footer="4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63500</wp:posOffset>
              </wp:positionV>
              <wp:extent cx="7552795" cy="809121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9600" y="3375450"/>
                        <a:ext cx="7552795" cy="809121"/>
                        <a:chOff x="1569600" y="3375450"/>
                        <a:chExt cx="7552800" cy="809100"/>
                      </a:xfrm>
                    </wpg:grpSpPr>
                    <wpg:grpSp>
                      <wpg:cNvGrpSpPr/>
                      <wpg:grpSpPr>
                        <a:xfrm>
                          <a:off x="1569605" y="3375454"/>
                          <a:ext cx="7552790" cy="809092"/>
                          <a:chOff x="1569603" y="3375440"/>
                          <a:chExt cx="7552795" cy="80912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69603" y="3375440"/>
                            <a:ext cx="7552775" cy="80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69603" y="3375440"/>
                            <a:ext cx="7552795" cy="809121"/>
                            <a:chOff x="1569600" y="3375425"/>
                            <a:chExt cx="7552800" cy="8091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69600" y="3375425"/>
                              <a:ext cx="7552800" cy="80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9603" y="3375440"/>
                              <a:ext cx="7552795" cy="809121"/>
                              <a:chOff x="1569600" y="3375425"/>
                              <a:chExt cx="7552800" cy="8091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69600" y="3375425"/>
                                <a:ext cx="7552800" cy="80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69603" y="3375440"/>
                                <a:ext cx="7552795" cy="809121"/>
                                <a:chOff x="1569603" y="3375440"/>
                                <a:chExt cx="7552795" cy="80912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69603" y="3375440"/>
                                  <a:ext cx="7552775" cy="80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69603" y="3375440"/>
                                  <a:ext cx="7552795" cy="809121"/>
                                  <a:chOff x="1569603" y="3375440"/>
                                  <a:chExt cx="7552795" cy="809121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69603" y="3375442"/>
                                    <a:ext cx="7552775" cy="809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569603" y="3375440"/>
                                    <a:ext cx="7552795" cy="809121"/>
                                    <a:chOff x="1063905" y="1098681"/>
                                    <a:chExt cx="72072" cy="6176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063905" y="1100668"/>
                                      <a:ext cx="72050" cy="4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063905" y="1098681"/>
                                      <a:ext cx="72072" cy="6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g:grpSp>
                                  <wpg:cNvGrpSpPr/>
                                  <wpg:grpSpPr>
                                    <a:xfrm>
                                      <a:off x="1088322" y="1100767"/>
                                      <a:ext cx="47562" cy="3433"/>
                                      <a:chOff x="1081839" y="1090696"/>
                                      <a:chExt cx="44901" cy="3433"/>
                                    </a:xfrm>
                                  </wpg:grpSpPr>
                                  <pic:pic>
                                    <pic:nvPicPr>
                                      <pic:cNvPr id="16" name="Shape 16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24890" r="0" t="63723"/>
                                      <a:stretch/>
                                    </pic:blipFill>
                                    <pic:spPr>
                                      <a:xfrm>
                                        <a:off x="1081839" y="1090696"/>
                                        <a:ext cx="44901" cy="2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SpPr/>
                                    <wps:cNvPr id="17" name="Shape 17"/>
                                    <wps:spPr>
                                      <a:xfrm>
                                        <a:off x="1081844" y="1091141"/>
                                        <a:ext cx="44883" cy="29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22.00000286102295"/>
                                            <w:ind w:left="0" w:right="0" w:firstLine="0"/>
                                            <w:jc w:val="center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ffffff"/>
                                              <w:sz w:val="18"/>
                                              <w:vertAlign w:val="baseline"/>
                                            </w:rPr>
                                            <w:t xml:space="preserve">вул. Щекавицька 55  </w:t>
                                          </w:r>
                                          <w:r w:rsidDel="00000000" w:rsidR="00000000" w:rsidRPr="00000000">
                                            <w:rPr>
                                              <w:rFonts w:ascii="Tahoma" w:cs="Tahoma" w:eastAsia="Tahoma" w:hAnsi="Tahoma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ffffff"/>
                                              <w:sz w:val="18"/>
                                              <w:vertAlign w:val="baseline"/>
                                            </w:rPr>
                                            <w:t xml:space="preserve">•</w:t>
                                          </w: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ffffff"/>
                                              <w:sz w:val="18"/>
                                              <w:vertAlign w:val="baseline"/>
                                            </w:rPr>
                                            <w:t xml:space="preserve">  Київ 04071, Україна  </w:t>
                                          </w:r>
                                          <w:r w:rsidDel="00000000" w:rsidR="00000000" w:rsidRPr="00000000">
                                            <w:rPr>
                                              <w:rFonts w:ascii="Tahoma" w:cs="Tahoma" w:eastAsia="Tahoma" w:hAnsi="Tahoma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ffffff"/>
                                              <w:sz w:val="18"/>
                                              <w:vertAlign w:val="baseline"/>
                                            </w:rPr>
                                            <w:t xml:space="preserve">•</w:t>
                                          </w: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ffffff"/>
                                              <w:sz w:val="18"/>
                                              <w:vertAlign w:val="baseline"/>
                                            </w:rPr>
                                            <w:t xml:space="preserve">  Т/Ф +38 044 337 17 62  </w:t>
                                          </w:r>
                                          <w:r w:rsidDel="00000000" w:rsidR="00000000" w:rsidRPr="00000000">
                                            <w:rPr>
                                              <w:rFonts w:ascii="Tahoma" w:cs="Tahoma" w:eastAsia="Tahoma" w:hAnsi="Tahoma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ffffff"/>
                                              <w:sz w:val="18"/>
                                              <w:vertAlign w:val="baseline"/>
                                            </w:rPr>
                                            <w:t xml:space="preserve">•</w:t>
                                          </w: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ffffff"/>
                                              <w:sz w:val="18"/>
                                              <w:vertAlign w:val="baseline"/>
                                            </w:rPr>
                                            <w:t xml:space="preserve">  r2p@r2p.org.ua</w:t>
                                          </w:r>
                                        </w:p>
                                      </w:txbxContent>
                                    </wps:txbx>
                                    <wps:bodyPr anchorCtr="0" anchor="t" bIns="36575" lIns="36575" spcFirstLastPara="1" rIns="36575" wrap="square" tIns="3657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63500</wp:posOffset>
              </wp:positionV>
              <wp:extent cx="7552795" cy="809121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2795" cy="8091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hanging="1134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1499169" cy="87769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169" cy="877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instagram.com/right2protecti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2p.org.ua/" TargetMode="External"/><Relationship Id="rId8" Type="http://schemas.openxmlformats.org/officeDocument/2006/relationships/hyperlink" Target="https://www.facebook.com/right2protec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/Z5zmuq2OsrvSoQ9nG6soeuzKw==">CgMxLjAyCGguZ2pkZ3hzOAByITFvUmNMLWkzeXJkem5Vc2FUNTFlaXVfNG8wMDBlaUYyQg==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